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611C6" w:rsidR="000611C6" w:rsidP="44354307" w:rsidRDefault="000611C6" w14:paraId="1E66CC60" w14:textId="0C39CDC7">
      <w:pPr>
        <w:pStyle w:val="NoSpacing"/>
        <w:spacing/>
        <w:contextualSpacing/>
        <w:jc w:val="both"/>
        <w:rPr>
          <w:rFonts w:ascii="Arial" w:hAnsi="Arial" w:eastAsia="Arial" w:cs="Arial"/>
          <w:noProof w:val="0"/>
          <w:sz w:val="28"/>
          <w:szCs w:val="28"/>
          <w:lang w:val="en-GB"/>
        </w:rPr>
      </w:pPr>
      <w:r w:rsidRPr="44354307" w:rsidR="000611C6">
        <w:rPr>
          <w:rFonts w:ascii="Arial" w:hAnsi="Arial" w:cs="Arial"/>
          <w:b w:val="1"/>
          <w:bCs w:val="1"/>
          <w:sz w:val="28"/>
          <w:szCs w:val="28"/>
          <w:lang w:val="en-GB"/>
        </w:rPr>
        <w:t>3GPP TSG RAN WG4 #11</w:t>
      </w:r>
      <w:r w:rsidRPr="44354307" w:rsidR="00BA34DB">
        <w:rPr>
          <w:rFonts w:ascii="Arial" w:hAnsi="Arial" w:cs="Arial"/>
          <w:b w:val="1"/>
          <w:bCs w:val="1"/>
          <w:sz w:val="28"/>
          <w:szCs w:val="28"/>
          <w:lang w:val="en-GB"/>
        </w:rPr>
        <w:t>4</w:t>
      </w:r>
      <w:r w:rsidRPr="44354307" w:rsidR="00A652EE">
        <w:rPr>
          <w:rFonts w:ascii="Arial" w:hAnsi="Arial" w:cs="Arial"/>
          <w:b w:val="1"/>
          <w:bCs w:val="1"/>
          <w:sz w:val="28"/>
          <w:szCs w:val="28"/>
          <w:lang w:val="en-GB"/>
        </w:rPr>
        <w:t>-bis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4354307" w:rsidR="000611C6">
        <w:rPr>
          <w:rFonts w:ascii="Arial" w:hAnsi="Arial" w:cs="Arial"/>
          <w:b w:val="1"/>
          <w:bCs w:val="1"/>
          <w:sz w:val="28"/>
          <w:szCs w:val="28"/>
          <w:lang w:val="en-GB" w:eastAsia="zh-CN"/>
        </w:rPr>
        <w:t xml:space="preserve">     </w:t>
      </w:r>
      <w:r w:rsidRPr="44354307" w:rsidR="00A652EE">
        <w:rPr>
          <w:rFonts w:ascii="Arial" w:hAnsi="Arial" w:cs="Arial"/>
          <w:b w:val="1"/>
          <w:bCs w:val="1"/>
          <w:sz w:val="28"/>
          <w:szCs w:val="28"/>
          <w:lang w:val="en-GB" w:eastAsia="zh-CN"/>
        </w:rPr>
        <w:t xml:space="preserve"> </w:t>
      </w:r>
      <w:r w:rsidRPr="44354307" w:rsidR="5DACDE3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1D1C1D"/>
          <w:sz w:val="28"/>
          <w:szCs w:val="28"/>
          <w:lang w:val="en-GB"/>
        </w:rPr>
        <w:t>R4-2503708</w:t>
      </w:r>
    </w:p>
    <w:p w:rsidRPr="00E913CF" w:rsidR="000611C6" w:rsidP="000611C6" w:rsidRDefault="00A652EE" w14:paraId="68BB5185" w14:textId="45AFD341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Wuhan</w:t>
      </w:r>
      <w:r w:rsidRPr="00442612" w:rsidR="00442612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China</w:t>
      </w:r>
      <w:r w:rsidRPr="00442612" w:rsidR="00442612">
        <w:rPr>
          <w:rFonts w:ascii="Arial" w:hAnsi="Arial" w:cs="Arial"/>
          <w:b/>
          <w:sz w:val="28"/>
          <w:szCs w:val="28"/>
        </w:rPr>
        <w:t>,</w:t>
      </w:r>
      <w:r w:rsidR="00BA34DB">
        <w:rPr>
          <w:rFonts w:ascii="Arial" w:hAnsi="Arial" w:cs="Arial"/>
          <w:b/>
          <w:sz w:val="28"/>
          <w:szCs w:val="28"/>
        </w:rPr>
        <w:t xml:space="preserve"> </w:t>
      </w:r>
      <w:r w:rsidR="004D21D1">
        <w:rPr>
          <w:rFonts w:ascii="Arial" w:hAnsi="Arial" w:cs="Arial"/>
          <w:b/>
          <w:sz w:val="28"/>
          <w:szCs w:val="28"/>
        </w:rPr>
        <w:t>April</w:t>
      </w:r>
      <w:r w:rsidR="00BA34DB">
        <w:rPr>
          <w:rFonts w:ascii="Arial" w:hAnsi="Arial" w:cs="Arial"/>
          <w:b/>
          <w:sz w:val="28"/>
          <w:szCs w:val="28"/>
        </w:rPr>
        <w:t xml:space="preserve"> </w:t>
      </w:r>
      <w:r w:rsidR="000470B2">
        <w:rPr>
          <w:rFonts w:ascii="Arial" w:hAnsi="Arial" w:cs="Arial"/>
          <w:b/>
          <w:sz w:val="28"/>
          <w:szCs w:val="28"/>
        </w:rPr>
        <w:t>7</w:t>
      </w:r>
      <w:r w:rsidRPr="00442612" w:rsidR="00442612">
        <w:rPr>
          <w:rFonts w:ascii="Arial" w:hAnsi="Arial" w:cs="Arial"/>
          <w:b/>
          <w:sz w:val="28"/>
          <w:szCs w:val="28"/>
        </w:rPr>
        <w:t xml:space="preserve">th – </w:t>
      </w:r>
      <w:r w:rsidR="004D21D1">
        <w:rPr>
          <w:rFonts w:ascii="Arial" w:hAnsi="Arial" w:cs="Arial"/>
          <w:b/>
          <w:sz w:val="28"/>
          <w:szCs w:val="28"/>
        </w:rPr>
        <w:t>11th</w:t>
      </w:r>
      <w:r w:rsidRPr="00442612" w:rsidR="00442612">
        <w:rPr>
          <w:rFonts w:ascii="Arial" w:hAnsi="Arial" w:cs="Arial"/>
          <w:b/>
          <w:sz w:val="28"/>
          <w:szCs w:val="28"/>
        </w:rPr>
        <w:t>, 202</w:t>
      </w:r>
      <w:r w:rsidR="000470B2">
        <w:rPr>
          <w:rFonts w:ascii="Arial" w:hAnsi="Arial" w:cs="Arial"/>
          <w:b/>
          <w:sz w:val="28"/>
          <w:szCs w:val="28"/>
        </w:rPr>
        <w:t>5</w:t>
      </w:r>
    </w:p>
    <w:p w:rsidRPr="000D3066" w:rsidR="000611C6" w:rsidP="000611C6" w:rsidRDefault="000611C6" w14:paraId="75334291" w14:textId="77777777">
      <w:pPr>
        <w:pStyle w:val="NoSpacing"/>
        <w:contextualSpacing/>
        <w:jc w:val="both"/>
        <w:rPr>
          <w:rFonts w:ascii="Arial" w:hAnsi="Arial" w:cs="Arial"/>
          <w:b/>
          <w:sz w:val="24"/>
          <w:szCs w:val="24"/>
          <w:lang w:eastAsia="zh-CN"/>
        </w:rPr>
      </w:pPr>
    </w:p>
    <w:p w:rsidRPr="000D3066" w:rsidR="000611C6" w:rsidP="000611C6" w:rsidRDefault="000611C6" w14:paraId="4A8D9A0E" w14:textId="77777777">
      <w:pPr>
        <w:pStyle w:val="NoSpacing"/>
        <w:contextualSpacing/>
        <w:jc w:val="both"/>
        <w:rPr>
          <w:rFonts w:ascii="Arial" w:hAnsi="Arial" w:cs="Arial"/>
          <w:b/>
          <w:sz w:val="24"/>
          <w:szCs w:val="24"/>
          <w:lang w:eastAsia="zh-CN"/>
        </w:rPr>
      </w:pPr>
    </w:p>
    <w:p w:rsidRPr="004D0032" w:rsidR="000611C6" w:rsidP="000611C6" w:rsidRDefault="000611C6" w14:paraId="355BDBC9" w14:textId="2A1C29B2">
      <w:pPr>
        <w:pStyle w:val="NoSpacing"/>
        <w:contextualSpacing/>
        <w:jc w:val="both"/>
        <w:rPr>
          <w:rFonts w:ascii="Arial" w:hAnsi="Arial" w:cs="Arial"/>
          <w:b/>
          <w:sz w:val="24"/>
          <w:szCs w:val="24"/>
          <w:lang w:val="pt-PT" w:eastAsia="zh-CN"/>
        </w:rPr>
      </w:pPr>
      <w:r w:rsidRPr="004D0032">
        <w:rPr>
          <w:rFonts w:ascii="Arial" w:hAnsi="Arial" w:cs="Arial"/>
          <w:b/>
          <w:sz w:val="24"/>
          <w:szCs w:val="24"/>
          <w:lang w:val="pt-PT"/>
        </w:rPr>
        <w:t>Agenda Item:</w:t>
      </w:r>
      <w:r w:rsidRPr="004D0032">
        <w:rPr>
          <w:rFonts w:ascii="Arial" w:hAnsi="Arial" w:cs="Arial"/>
          <w:b/>
          <w:sz w:val="24"/>
          <w:szCs w:val="24"/>
          <w:lang w:val="pt-PT"/>
        </w:rPr>
        <w:tab/>
      </w:r>
      <w:r w:rsidRPr="004D0032">
        <w:rPr>
          <w:rFonts w:ascii="Arial" w:hAnsi="Arial" w:cs="Arial"/>
          <w:b/>
          <w:sz w:val="24"/>
          <w:szCs w:val="24"/>
          <w:lang w:val="pt-PT"/>
        </w:rPr>
        <w:tab/>
      </w:r>
      <w:r w:rsidR="0082559E">
        <w:rPr>
          <w:rFonts w:ascii="Arial" w:hAnsi="Arial" w:cs="Arial"/>
          <w:b/>
          <w:sz w:val="24"/>
          <w:szCs w:val="24"/>
          <w:lang w:val="pt-PT"/>
        </w:rPr>
        <w:t>7.10.2</w:t>
      </w:r>
    </w:p>
    <w:p w:rsidRPr="004D0032" w:rsidR="000611C6" w:rsidP="44354307" w:rsidRDefault="000611C6" w14:paraId="200B798D" w14:textId="359BB6DD">
      <w:pPr>
        <w:pStyle w:val="NoSpacing"/>
        <w:spacing/>
        <w:contextualSpacing/>
        <w:jc w:val="both"/>
        <w:rPr>
          <w:rFonts w:ascii="Times New Roman" w:hAnsi="Times New Roman" w:eastAsia="Times New Roman" w:cs="Times New Roman"/>
          <w:noProof w:val="0"/>
          <w:sz w:val="20"/>
          <w:szCs w:val="20"/>
          <w:lang w:val="en-US"/>
        </w:rPr>
      </w:pPr>
      <w:r w:rsidRPr="44354307" w:rsidR="000611C6">
        <w:rPr>
          <w:rFonts w:ascii="Arial" w:hAnsi="Arial" w:cs="Arial"/>
          <w:b w:val="1"/>
          <w:bCs w:val="1"/>
          <w:sz w:val="24"/>
          <w:szCs w:val="24"/>
          <w:lang w:val="pt-PT"/>
        </w:rPr>
        <w:t>Source</w:t>
      </w:r>
      <w:r w:rsidRPr="44354307" w:rsidR="000611C6">
        <w:rPr>
          <w:rFonts w:ascii="Arial" w:hAnsi="Arial" w:cs="Arial"/>
          <w:b w:val="1"/>
          <w:bCs w:val="1"/>
          <w:sz w:val="24"/>
          <w:szCs w:val="24"/>
          <w:lang w:val="pt-PT"/>
        </w:rPr>
        <w:t>:</w:t>
      </w:r>
      <w:r>
        <w:tab/>
      </w:r>
      <w:r>
        <w:tab/>
      </w:r>
      <w:r>
        <w:tab/>
      </w:r>
      <w:r>
        <w:tab/>
      </w:r>
      <w:r w:rsidRPr="44354307" w:rsidR="0A44A1A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ViaSat Holdings Ltd, Inmarsat</w:t>
      </w:r>
    </w:p>
    <w:p w:rsidR="000611C6" w:rsidP="000611C6" w:rsidRDefault="000611C6" w14:paraId="7342CD4B" w14:textId="64E83B33">
      <w:pPr>
        <w:pStyle w:val="NoSpacing"/>
        <w:ind w:left="2010" w:hanging="2010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name="Title" w:id="0"/>
      <w:bookmarkEnd w:id="0"/>
      <w:r w:rsidR="00244ED1">
        <w:rPr>
          <w:rFonts w:ascii="Arial" w:hAnsi="Arial" w:cs="Arial"/>
          <w:b/>
          <w:sz w:val="24"/>
          <w:szCs w:val="24"/>
        </w:rPr>
        <w:tab/>
      </w:r>
      <w:r w:rsidR="008A3568">
        <w:rPr>
          <w:rFonts w:ascii="Arial" w:hAnsi="Arial" w:cs="Arial"/>
          <w:b/>
          <w:sz w:val="24"/>
          <w:szCs w:val="24"/>
        </w:rPr>
        <w:t>On</w:t>
      </w:r>
      <w:r w:rsidR="00244ED1">
        <w:rPr>
          <w:rFonts w:ascii="Arial" w:hAnsi="Arial" w:cs="Arial"/>
          <w:b/>
          <w:sz w:val="24"/>
          <w:szCs w:val="24"/>
        </w:rPr>
        <w:t xml:space="preserve"> NR-NTN HPUE requirements</w:t>
      </w:r>
    </w:p>
    <w:p w:rsidRPr="007B491C" w:rsidR="000611C6" w:rsidP="000611C6" w:rsidRDefault="000611C6" w14:paraId="64CAA37D" w14:textId="09206914">
      <w:pPr>
        <w:pStyle w:val="NoSpacing"/>
        <w:ind w:left="2010" w:hanging="2010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name="DocumentFor" w:id="1"/>
      <w:bookmarkEnd w:id="1"/>
      <w:r>
        <w:rPr>
          <w:rFonts w:ascii="Arial" w:hAnsi="Arial" w:cs="Arial"/>
          <w:b/>
          <w:sz w:val="24"/>
          <w:szCs w:val="24"/>
        </w:rPr>
        <w:t>Discussion</w:t>
      </w:r>
      <w:r w:rsidR="00647BAC">
        <w:rPr>
          <w:rFonts w:ascii="Arial" w:hAnsi="Arial" w:cs="Arial"/>
          <w:b/>
          <w:sz w:val="24"/>
          <w:szCs w:val="24"/>
        </w:rPr>
        <w:t xml:space="preserve"> and Decision</w:t>
      </w:r>
    </w:p>
    <w:p w:rsidR="000611C6" w:rsidP="000611C6" w:rsidRDefault="000611C6" w14:paraId="4CEEEC51" w14:textId="77777777"/>
    <w:p w:rsidRPr="00626FD8" w:rsidR="000611C6" w:rsidP="005F7910" w:rsidRDefault="000611C6" w14:paraId="04ECCD93" w14:textId="77777777">
      <w:pPr>
        <w:pStyle w:val="Heading1"/>
      </w:pPr>
      <w:r w:rsidRPr="00626FD8">
        <w:t>Background</w:t>
      </w:r>
    </w:p>
    <w:p w:rsidR="00147679" w:rsidP="00147679" w:rsidRDefault="00453C5E" w14:paraId="1A17838C" w14:textId="73558824">
      <w:r w:rsidRPr="00453C5E">
        <w:t>In RAN#106, a revised WID has been approved for “Enhanced requirements and conductive test methodology for NR NTN and IoT NTN” WI [1]. One of the three working areas of the WI is to specify High power UE (HPUE) requirements for NR-NTN</w:t>
      </w:r>
      <w:r>
        <w:t xml:space="preserve">. </w:t>
      </w:r>
      <w:r w:rsidR="00244ED1">
        <w:t xml:space="preserve">In </w:t>
      </w:r>
      <w:r>
        <w:t xml:space="preserve">this document, we provide our views on </w:t>
      </w:r>
      <w:r w:rsidR="00147679">
        <w:t>the following</w:t>
      </w:r>
      <w:r w:rsidR="00244ED1">
        <w:t xml:space="preserve"> issues </w:t>
      </w:r>
      <w:r>
        <w:t xml:space="preserve">that </w:t>
      </w:r>
      <w:r w:rsidR="00244ED1">
        <w:t xml:space="preserve">were discussed </w:t>
      </w:r>
      <w:r>
        <w:t xml:space="preserve">in </w:t>
      </w:r>
      <w:r>
        <w:t xml:space="preserve">the RAN4 #114 meeting </w:t>
      </w:r>
      <w:r w:rsidR="00244ED1">
        <w:t>[</w:t>
      </w:r>
      <w:r>
        <w:t>2</w:t>
      </w:r>
      <w:r w:rsidR="00244ED1">
        <w:t>]</w:t>
      </w:r>
      <w:r w:rsidR="009D250B">
        <w:t>, [3]</w:t>
      </w:r>
      <w:r w:rsidR="00147679">
        <w:t>:</w:t>
      </w:r>
      <w:r w:rsidRPr="00147679" w:rsidR="00147679">
        <w:t xml:space="preserve"> </w:t>
      </w:r>
    </w:p>
    <w:p w:rsidR="00AD1440" w:rsidP="00AD1440" w:rsidRDefault="00147679" w14:paraId="39E2AD14" w14:textId="77777777">
      <w:pPr>
        <w:pStyle w:val="ListParagraph"/>
        <w:numPr>
          <w:ilvl w:val="0"/>
          <w:numId w:val="22"/>
        </w:numPr>
      </w:pPr>
      <w:r>
        <w:t>ACLR</w:t>
      </w:r>
      <w:r>
        <w:t xml:space="preserve"> requirements</w:t>
      </w:r>
    </w:p>
    <w:p w:rsidR="00244ED1" w:rsidP="00AD1440" w:rsidRDefault="00147679" w14:paraId="5FE6BD94" w14:textId="3A1FAC36">
      <w:pPr>
        <w:pStyle w:val="ListParagraph"/>
        <w:numPr>
          <w:ilvl w:val="0"/>
          <w:numId w:val="22"/>
        </w:numPr>
      </w:pPr>
      <w:r>
        <w:t xml:space="preserve">SAR </w:t>
      </w:r>
      <w:r w:rsidR="00AD1440">
        <w:t>related issues</w:t>
      </w:r>
    </w:p>
    <w:p w:rsidR="003A57E0" w:rsidP="00AD1440" w:rsidRDefault="00AB7B14" w14:paraId="287CC051" w14:textId="50AD2DEC">
      <w:pPr>
        <w:pStyle w:val="Heading1"/>
      </w:pPr>
      <w:r>
        <w:t>ACLR Requirements</w:t>
      </w:r>
    </w:p>
    <w:p w:rsidR="00AB7B14" w:rsidP="00AB7B14" w:rsidRDefault="00AB7B14" w14:paraId="3FCB0D60" w14:textId="438EBAFC">
      <w:r>
        <w:t xml:space="preserve">The following proposals were made in </w:t>
      </w:r>
      <w:r>
        <w:t>RAN4 #114 meeting [2]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4410"/>
        <w:gridCol w:w="2794"/>
      </w:tblGrid>
      <w:tr w:rsidR="00AB7B14" w:rsidTr="00EF2C8E" w14:paraId="4D800981" w14:textId="77777777">
        <w:tc>
          <w:tcPr>
            <w:tcW w:w="2425" w:type="dxa"/>
          </w:tcPr>
          <w:p w:rsidRPr="00EF2C8E" w:rsidR="00AB7B14" w:rsidP="00AB7B14" w:rsidRDefault="00AB7B14" w14:paraId="649E2880" w14:textId="6F8D5BB7">
            <w:pPr>
              <w:rPr>
                <w:b/>
                <w:bCs/>
              </w:rPr>
            </w:pPr>
            <w:r w:rsidRPr="00EF2C8E">
              <w:rPr>
                <w:b/>
                <w:bCs/>
              </w:rPr>
              <w:t>Issue</w:t>
            </w:r>
          </w:p>
        </w:tc>
        <w:tc>
          <w:tcPr>
            <w:tcW w:w="4410" w:type="dxa"/>
          </w:tcPr>
          <w:p w:rsidRPr="00EF2C8E" w:rsidR="00AB7B14" w:rsidP="00AB7B14" w:rsidRDefault="00AB7B14" w14:paraId="2284A2A0" w14:textId="0D9FEF05">
            <w:pPr>
              <w:rPr>
                <w:b/>
                <w:bCs/>
              </w:rPr>
            </w:pPr>
            <w:r w:rsidRPr="00EF2C8E">
              <w:rPr>
                <w:b/>
                <w:bCs/>
              </w:rPr>
              <w:t>Proposals</w:t>
            </w:r>
          </w:p>
        </w:tc>
        <w:tc>
          <w:tcPr>
            <w:tcW w:w="2794" w:type="dxa"/>
          </w:tcPr>
          <w:p w:rsidRPr="00EF2C8E" w:rsidR="00AB7B14" w:rsidP="00AB7B14" w:rsidRDefault="00AB7B14" w14:paraId="555F8BB9" w14:textId="6FAD3C00">
            <w:pPr>
              <w:rPr>
                <w:b/>
                <w:bCs/>
              </w:rPr>
            </w:pPr>
            <w:r w:rsidRPr="00EF2C8E">
              <w:rPr>
                <w:b/>
                <w:bCs/>
              </w:rPr>
              <w:t>Recommended WF</w:t>
            </w:r>
          </w:p>
        </w:tc>
      </w:tr>
      <w:tr w:rsidR="00AB7B14" w:rsidTr="00EF2C8E" w14:paraId="6105F66D" w14:textId="77777777">
        <w:tc>
          <w:tcPr>
            <w:tcW w:w="2425" w:type="dxa"/>
          </w:tcPr>
          <w:p w:rsidRPr="00EF2C8E" w:rsidR="00AB7B14" w:rsidP="00AB7B14" w:rsidRDefault="00AB7B14" w14:paraId="43F976C6" w14:textId="115467DC">
            <w:pPr>
              <w:rPr>
                <w:b/>
                <w:bCs/>
              </w:rPr>
            </w:pPr>
            <w:r w:rsidRPr="00EF2C8E">
              <w:rPr>
                <w:b/>
                <w:bCs/>
              </w:rPr>
              <w:t>Issue 2-4-1: PC2 ACLR</w:t>
            </w:r>
          </w:p>
        </w:tc>
        <w:tc>
          <w:tcPr>
            <w:tcW w:w="4410" w:type="dxa"/>
          </w:tcPr>
          <w:p w:rsidRPr="00AB7B14" w:rsidR="00AB7B14" w:rsidP="00EF2C8E" w:rsidRDefault="00AB7B14" w14:paraId="387665F4" w14:textId="77777777">
            <w:pPr>
              <w:numPr>
                <w:ilvl w:val="0"/>
                <w:numId w:val="12"/>
              </w:numPr>
              <w:ind w:left="360"/>
              <w:rPr>
                <w:lang w:val="en-US"/>
              </w:rPr>
            </w:pPr>
            <w:r w:rsidRPr="00AB7B14">
              <w:t>Option 1: Re-use TN PC2: 31 dBc (Apple, Qualcomm, Ericsson)</w:t>
            </w:r>
            <w:r w:rsidRPr="00AB7B14">
              <w:rPr>
                <w:lang w:val="en-US"/>
              </w:rPr>
              <w:t> </w:t>
            </w:r>
          </w:p>
          <w:p w:rsidRPr="00AB7B14" w:rsidR="00AB7B14" w:rsidP="00EF2C8E" w:rsidRDefault="00AB7B14" w14:paraId="31321A6F" w14:textId="77777777">
            <w:pPr>
              <w:numPr>
                <w:ilvl w:val="0"/>
                <w:numId w:val="13"/>
              </w:numPr>
              <w:ind w:left="360"/>
              <w:rPr>
                <w:lang w:val="en-US"/>
              </w:rPr>
            </w:pPr>
            <w:r w:rsidRPr="00AB7B14">
              <w:t>Option 2: Re-use TN PC3: 30 dBc. (vivo, Samsung)</w:t>
            </w:r>
            <w:r w:rsidRPr="00AB7B14">
              <w:rPr>
                <w:lang w:val="en-US"/>
              </w:rPr>
              <w:t> </w:t>
            </w:r>
          </w:p>
          <w:p w:rsidRPr="00AB7B14" w:rsidR="00AB7B14" w:rsidP="00EF2C8E" w:rsidRDefault="00AB7B14" w14:paraId="544E6CC2" w14:textId="33FBD888">
            <w:pPr>
              <w:numPr>
                <w:ilvl w:val="0"/>
                <w:numId w:val="14"/>
              </w:numPr>
              <w:ind w:left="360"/>
              <w:rPr>
                <w:lang w:val="en-US"/>
              </w:rPr>
            </w:pPr>
            <w:r w:rsidRPr="00AB7B14">
              <w:t>Option 3: 22 dBc (Xiaomi)</w:t>
            </w:r>
            <w:r w:rsidRPr="00AB7B14">
              <w:rPr>
                <w:lang w:val="en-US"/>
              </w:rPr>
              <w:t> </w:t>
            </w:r>
          </w:p>
        </w:tc>
        <w:tc>
          <w:tcPr>
            <w:tcW w:w="2794" w:type="dxa"/>
          </w:tcPr>
          <w:p w:rsidR="00AB7B14" w:rsidP="00EF2C8E" w:rsidRDefault="00EF2C8E" w14:paraId="5FAF3EB8" w14:textId="4D9EFA6A">
            <w:r>
              <w:t>PC2 ACLR is [30 or 31] dBc for NR-NTN UE</w:t>
            </w:r>
          </w:p>
        </w:tc>
      </w:tr>
      <w:tr w:rsidR="00AB7B14" w:rsidTr="00EF2C8E" w14:paraId="1B9DE92C" w14:textId="77777777">
        <w:tc>
          <w:tcPr>
            <w:tcW w:w="2425" w:type="dxa"/>
          </w:tcPr>
          <w:p w:rsidRPr="00EF2C8E" w:rsidR="00AB7B14" w:rsidP="00AB7B14" w:rsidRDefault="00AB7B14" w14:paraId="3CCBAEC8" w14:textId="0296113B">
            <w:pPr>
              <w:rPr>
                <w:b/>
                <w:bCs/>
              </w:rPr>
            </w:pPr>
            <w:r w:rsidRPr="00EF2C8E">
              <w:rPr>
                <w:b/>
                <w:bCs/>
              </w:rPr>
              <w:t>Issue 2-4-</w:t>
            </w:r>
            <w:r w:rsidRPr="00EF2C8E">
              <w:rPr>
                <w:b/>
                <w:bCs/>
              </w:rPr>
              <w:t>2</w:t>
            </w:r>
            <w:r w:rsidRPr="00EF2C8E">
              <w:rPr>
                <w:b/>
                <w:bCs/>
              </w:rPr>
              <w:t>: PC</w:t>
            </w:r>
            <w:r w:rsidRPr="00EF2C8E">
              <w:rPr>
                <w:b/>
                <w:bCs/>
              </w:rPr>
              <w:t xml:space="preserve">1.5 </w:t>
            </w:r>
            <w:r w:rsidRPr="00EF2C8E">
              <w:rPr>
                <w:b/>
                <w:bCs/>
              </w:rPr>
              <w:t>ACLR</w:t>
            </w:r>
          </w:p>
        </w:tc>
        <w:tc>
          <w:tcPr>
            <w:tcW w:w="4410" w:type="dxa"/>
          </w:tcPr>
          <w:p w:rsidRPr="00EF2C8E" w:rsidR="00EF2C8E" w:rsidP="00EF2C8E" w:rsidRDefault="00EF2C8E" w14:paraId="49CBBD45" w14:textId="77777777">
            <w:pPr>
              <w:numPr>
                <w:ilvl w:val="0"/>
                <w:numId w:val="15"/>
              </w:numPr>
              <w:ind w:left="360"/>
              <w:rPr>
                <w:lang w:val="en-US"/>
              </w:rPr>
            </w:pPr>
            <w:r w:rsidRPr="00EF2C8E">
              <w:t>Option 1: Re-use TN PC1.5: 31 dBc (Apple, Qualcomm, Ericsson)</w:t>
            </w:r>
            <w:r w:rsidRPr="00EF2C8E">
              <w:rPr>
                <w:lang w:val="en-US"/>
              </w:rPr>
              <w:t> </w:t>
            </w:r>
          </w:p>
          <w:p w:rsidRPr="00EF2C8E" w:rsidR="00EF2C8E" w:rsidP="00EF2C8E" w:rsidRDefault="00EF2C8E" w14:paraId="2828E97E" w14:textId="77777777">
            <w:pPr>
              <w:numPr>
                <w:ilvl w:val="0"/>
                <w:numId w:val="16"/>
              </w:numPr>
              <w:ind w:left="360"/>
              <w:rPr>
                <w:lang w:val="en-US"/>
              </w:rPr>
            </w:pPr>
            <w:r w:rsidRPr="00EF2C8E">
              <w:t>Option 2: Re-use TN PC3: 30 dBc. (vivo, Samsung)</w:t>
            </w:r>
            <w:r w:rsidRPr="00EF2C8E">
              <w:rPr>
                <w:lang w:val="en-US"/>
              </w:rPr>
              <w:t> </w:t>
            </w:r>
          </w:p>
          <w:p w:rsidRPr="00EF2C8E" w:rsidR="00AB7B14" w:rsidP="00EF2C8E" w:rsidRDefault="00EF2C8E" w14:paraId="6CFCF9CF" w14:textId="6F6915A0">
            <w:pPr>
              <w:numPr>
                <w:ilvl w:val="0"/>
                <w:numId w:val="17"/>
              </w:numPr>
              <w:ind w:left="360"/>
              <w:rPr>
                <w:lang w:val="en-US"/>
              </w:rPr>
            </w:pPr>
            <w:r w:rsidRPr="00EF2C8E">
              <w:t>Option 3: 23 dBc (Xiaomi)</w:t>
            </w:r>
            <w:r w:rsidRPr="00EF2C8E">
              <w:rPr>
                <w:lang w:val="en-US"/>
              </w:rPr>
              <w:t> </w:t>
            </w:r>
          </w:p>
        </w:tc>
        <w:tc>
          <w:tcPr>
            <w:tcW w:w="2794" w:type="dxa"/>
          </w:tcPr>
          <w:p w:rsidR="00AB7B14" w:rsidP="00AB7B14" w:rsidRDefault="00EF2C8E" w14:paraId="40085B28" w14:textId="4D837C2E">
            <w:r>
              <w:t>For further discussion</w:t>
            </w:r>
          </w:p>
        </w:tc>
      </w:tr>
      <w:tr w:rsidR="00EF2C8E" w:rsidTr="00EF2C8E" w14:paraId="56C99D1C" w14:textId="77777777">
        <w:tc>
          <w:tcPr>
            <w:tcW w:w="2425" w:type="dxa"/>
          </w:tcPr>
          <w:p w:rsidRPr="00EF2C8E" w:rsidR="00EF2C8E" w:rsidP="00EF2C8E" w:rsidRDefault="00EF2C8E" w14:paraId="1406F615" w14:textId="240D8C46">
            <w:pPr>
              <w:rPr>
                <w:b/>
                <w:bCs/>
              </w:rPr>
            </w:pPr>
            <w:r w:rsidRPr="00EF2C8E">
              <w:rPr>
                <w:b/>
                <w:bCs/>
              </w:rPr>
              <w:t>Issue 2-4-</w:t>
            </w:r>
            <w:r w:rsidRPr="00EF2C8E">
              <w:rPr>
                <w:b/>
                <w:bCs/>
              </w:rPr>
              <w:t>3</w:t>
            </w:r>
            <w:r w:rsidRPr="00EF2C8E">
              <w:rPr>
                <w:b/>
                <w:bCs/>
              </w:rPr>
              <w:t>: PC</w:t>
            </w:r>
            <w:r w:rsidRPr="00EF2C8E">
              <w:rPr>
                <w:b/>
                <w:bCs/>
              </w:rPr>
              <w:t>1</w:t>
            </w:r>
            <w:r w:rsidRPr="00EF2C8E">
              <w:rPr>
                <w:b/>
                <w:bCs/>
              </w:rPr>
              <w:t xml:space="preserve"> ACLR</w:t>
            </w:r>
          </w:p>
        </w:tc>
        <w:tc>
          <w:tcPr>
            <w:tcW w:w="4410" w:type="dxa"/>
          </w:tcPr>
          <w:p w:rsidRPr="00EF2C8E" w:rsidR="00EF2C8E" w:rsidP="00EF2C8E" w:rsidRDefault="00EF2C8E" w14:paraId="40077A56" w14:textId="77777777">
            <w:pPr>
              <w:numPr>
                <w:ilvl w:val="0"/>
                <w:numId w:val="18"/>
              </w:numPr>
              <w:ind w:left="360"/>
              <w:rPr>
                <w:lang w:val="en-US"/>
              </w:rPr>
            </w:pPr>
            <w:r w:rsidRPr="00EF2C8E">
              <w:t>Option 1: 37 dBc for non-handheld (Ericsson, Samsung)</w:t>
            </w:r>
            <w:r w:rsidRPr="00EF2C8E">
              <w:rPr>
                <w:lang w:val="en-US"/>
              </w:rPr>
              <w:t> </w:t>
            </w:r>
          </w:p>
          <w:p w:rsidRPr="00EF2C8E" w:rsidR="00EF2C8E" w:rsidP="00EF2C8E" w:rsidRDefault="00EF2C8E" w14:paraId="79ED161F" w14:textId="77777777">
            <w:pPr>
              <w:numPr>
                <w:ilvl w:val="0"/>
                <w:numId w:val="19"/>
              </w:numPr>
              <w:ind w:left="360"/>
              <w:rPr>
                <w:lang w:val="en-US"/>
              </w:rPr>
            </w:pPr>
            <w:r w:rsidRPr="00EF2C8E">
              <w:t>Option 2: 31 dBc for non-handheld (Apple, Qualcomm)</w:t>
            </w:r>
            <w:r w:rsidRPr="00EF2C8E">
              <w:rPr>
                <w:lang w:val="en-US"/>
              </w:rPr>
              <w:t> </w:t>
            </w:r>
          </w:p>
          <w:p w:rsidRPr="00EF2C8E" w:rsidR="00EF2C8E" w:rsidP="00EF2C8E" w:rsidRDefault="00EF2C8E" w14:paraId="17769E26" w14:textId="77777777">
            <w:pPr>
              <w:numPr>
                <w:ilvl w:val="0"/>
                <w:numId w:val="20"/>
              </w:numPr>
              <w:ind w:left="360"/>
              <w:rPr>
                <w:lang w:val="en-US"/>
              </w:rPr>
            </w:pPr>
            <w:r w:rsidRPr="00EF2C8E">
              <w:t>Option 3: Re-use TN PC3: 30 dBc. (vivo)</w:t>
            </w:r>
            <w:r w:rsidRPr="00EF2C8E">
              <w:rPr>
                <w:lang w:val="en-US"/>
              </w:rPr>
              <w:t> </w:t>
            </w:r>
          </w:p>
          <w:p w:rsidRPr="00EF2C8E" w:rsidR="00EF2C8E" w:rsidP="00EF2C8E" w:rsidRDefault="00EF2C8E" w14:paraId="6A1B46D6" w14:textId="6B0DD9F3">
            <w:pPr>
              <w:numPr>
                <w:ilvl w:val="0"/>
                <w:numId w:val="21"/>
              </w:numPr>
              <w:ind w:left="360"/>
              <w:rPr>
                <w:lang w:val="en-US"/>
              </w:rPr>
            </w:pPr>
            <w:r w:rsidRPr="00EF2C8E">
              <w:t>Option 4: 24 dBc (Xiaomi)</w:t>
            </w:r>
            <w:r w:rsidRPr="00EF2C8E">
              <w:rPr>
                <w:lang w:val="en-US"/>
              </w:rPr>
              <w:t> </w:t>
            </w:r>
          </w:p>
        </w:tc>
        <w:tc>
          <w:tcPr>
            <w:tcW w:w="2794" w:type="dxa"/>
          </w:tcPr>
          <w:p w:rsidR="00EF2C8E" w:rsidP="00EF2C8E" w:rsidRDefault="00EF2C8E" w14:paraId="33797D53" w14:textId="00F4D30A">
            <w:r>
              <w:t>For further discussion</w:t>
            </w:r>
          </w:p>
        </w:tc>
      </w:tr>
    </w:tbl>
    <w:p w:rsidRPr="007E647D" w:rsidR="00B76D32" w:rsidP="00EF2C8E" w:rsidRDefault="00EF2C8E" w14:paraId="4E8E21DC" w14:textId="3DB5C4CC">
      <w:pPr>
        <w:keepNext/>
        <w:rPr>
          <w:b/>
          <w:i/>
        </w:rPr>
      </w:pPr>
      <w:r w:rsidRPr="007E647D">
        <w:rPr>
          <w:b/>
          <w:i/>
        </w:rPr>
        <w:t xml:space="preserve">Observation </w:t>
      </w:r>
      <w:r w:rsidRPr="007E647D">
        <w:rPr>
          <w:b/>
          <w:i/>
        </w:rPr>
        <w:fldChar w:fldCharType="begin"/>
      </w:r>
      <w:r w:rsidRPr="007E647D">
        <w:rPr>
          <w:b/>
          <w:i/>
        </w:rPr>
        <w:instrText xml:space="preserve"> SEQ Observation \* ARABIC </w:instrText>
      </w:r>
      <w:r w:rsidRPr="007E647D">
        <w:rPr>
          <w:b/>
          <w:i/>
        </w:rPr>
        <w:fldChar w:fldCharType="separate"/>
      </w:r>
      <w:r w:rsidRPr="007E647D">
        <w:rPr>
          <w:b/>
          <w:i/>
        </w:rPr>
        <w:t>1</w:t>
      </w:r>
      <w:r w:rsidRPr="007E647D">
        <w:rPr>
          <w:b/>
          <w:i/>
        </w:rPr>
        <w:fldChar w:fldCharType="end"/>
      </w:r>
      <w:r w:rsidRPr="007E647D">
        <w:rPr>
          <w:b/>
          <w:i/>
        </w:rPr>
        <w:t xml:space="preserve">: </w:t>
      </w:r>
      <w:r w:rsidRPr="007E647D" w:rsidR="00B76D32">
        <w:rPr>
          <w:b/>
          <w:i/>
        </w:rPr>
        <w:t xml:space="preserve">Based on the TN-NTN coexistence study, some companies want to relax the ACLR requirements beyond the TN specifications. </w:t>
      </w:r>
    </w:p>
    <w:p w:rsidRPr="007E647D" w:rsidR="00EF2C8E" w:rsidP="00EF2C8E" w:rsidRDefault="00B76D32" w14:paraId="79C371EC" w14:textId="12758986">
      <w:pPr>
        <w:keepNext/>
        <w:rPr>
          <w:b/>
          <w:i/>
          <w:iCs/>
        </w:rPr>
      </w:pPr>
      <w:r w:rsidRPr="007E647D">
        <w:rPr>
          <w:b/>
          <w:i/>
        </w:rPr>
        <w:t>Observation 2: There has been no discussion of self-interference when considering aggregate ACI at the satellite if the requirements are relaxed beyond the TN specifications.</w:t>
      </w:r>
    </w:p>
    <w:p w:rsidR="007E647D" w:rsidP="00AB7B14" w:rsidRDefault="00B76D32" w14:paraId="1971A471" w14:textId="215D46E5">
      <w:pPr>
        <w:rPr>
          <w:lang w:val="en-US"/>
        </w:rPr>
      </w:pPr>
      <w:r>
        <w:rPr>
          <w:lang w:val="en-US"/>
        </w:rPr>
        <w:t>For example</w:t>
      </w:r>
      <w:r w:rsidRPr="00B76D32">
        <w:rPr>
          <w:lang w:val="en-US"/>
        </w:rPr>
        <w:t xml:space="preserve">, consider the case </w:t>
      </w:r>
      <w:r>
        <w:rPr>
          <w:lang w:val="en-US"/>
        </w:rPr>
        <w:t xml:space="preserve">of PC1 vehicular UEs with high antenna gain which are in </w:t>
      </w:r>
      <w:r w:rsidRPr="00B76D32">
        <w:rPr>
          <w:lang w:val="en-US"/>
        </w:rPr>
        <w:t xml:space="preserve">adjacent </w:t>
      </w:r>
      <w:r>
        <w:rPr>
          <w:lang w:val="en-US"/>
        </w:rPr>
        <w:t xml:space="preserve">frequencies </w:t>
      </w:r>
      <w:r w:rsidRPr="00B76D32">
        <w:rPr>
          <w:lang w:val="en-US"/>
        </w:rPr>
        <w:t xml:space="preserve">to PC3 </w:t>
      </w:r>
      <w:r>
        <w:rPr>
          <w:lang w:val="en-US"/>
        </w:rPr>
        <w:t xml:space="preserve">UEs </w:t>
      </w:r>
      <w:r w:rsidRPr="00B76D32">
        <w:rPr>
          <w:lang w:val="en-US"/>
        </w:rPr>
        <w:t>with a -5.5dBi antenna</w:t>
      </w:r>
      <w:r>
        <w:rPr>
          <w:lang w:val="en-US"/>
        </w:rPr>
        <w:t>. At the</w:t>
      </w:r>
      <w:r w:rsidRPr="00B76D32">
        <w:rPr>
          <w:lang w:val="en-US"/>
        </w:rPr>
        <w:t xml:space="preserve"> RAN</w:t>
      </w:r>
      <w:r w:rsidR="003A665C">
        <w:rPr>
          <w:lang w:val="en-US"/>
        </w:rPr>
        <w:t>,</w:t>
      </w:r>
      <w:r w:rsidRPr="00B76D32">
        <w:rPr>
          <w:lang w:val="en-US"/>
        </w:rPr>
        <w:t xml:space="preserve"> there would be a </w:t>
      </w:r>
      <w:r>
        <w:rPr>
          <w:lang w:val="en-US"/>
        </w:rPr>
        <w:t xml:space="preserve">serious </w:t>
      </w:r>
      <w:r w:rsidRPr="00B76D32">
        <w:rPr>
          <w:lang w:val="en-US"/>
        </w:rPr>
        <w:t xml:space="preserve">degradation in sensitivity </w:t>
      </w:r>
      <w:r>
        <w:rPr>
          <w:lang w:val="en-US"/>
        </w:rPr>
        <w:t>of the PC3 UE. T</w:t>
      </w:r>
      <w:r w:rsidRPr="00B76D32">
        <w:rPr>
          <w:lang w:val="en-US"/>
        </w:rPr>
        <w:t xml:space="preserve">he spacecraft would </w:t>
      </w:r>
      <w:r>
        <w:rPr>
          <w:lang w:val="en-US"/>
        </w:rPr>
        <w:t xml:space="preserve">very likely not </w:t>
      </w:r>
      <w:r w:rsidRPr="00B76D32">
        <w:rPr>
          <w:lang w:val="en-US"/>
        </w:rPr>
        <w:t>support adequate filtering especially when considering the potential loss of orthogonality of OFDM carriers associated with a brick-wall filtering response</w:t>
      </w:r>
      <w:r>
        <w:rPr>
          <w:lang w:val="en-US"/>
        </w:rPr>
        <w:t>.</w:t>
      </w:r>
      <w:r w:rsidR="007E647D">
        <w:rPr>
          <w:lang w:val="en-US"/>
        </w:rPr>
        <w:t xml:space="preserve"> </w:t>
      </w:r>
    </w:p>
    <w:p w:rsidR="00B76D32" w:rsidP="00AB7B14" w:rsidRDefault="007E647D" w14:paraId="1A5E7F52" w14:textId="63BE5FE4">
      <w:pPr>
        <w:rPr>
          <w:lang w:val="en-US"/>
        </w:rPr>
      </w:pPr>
      <w:r>
        <w:rPr>
          <w:lang w:val="en-US"/>
        </w:rPr>
        <w:t>T</w:t>
      </w:r>
      <w:r w:rsidRPr="00B76D32" w:rsidR="00B76D32">
        <w:rPr>
          <w:lang w:val="en-US"/>
        </w:rPr>
        <w:t xml:space="preserve">he in-band SEM </w:t>
      </w:r>
      <w:r>
        <w:rPr>
          <w:lang w:val="en-US"/>
        </w:rPr>
        <w:t xml:space="preserve">test requirements will not </w:t>
      </w:r>
      <w:r w:rsidRPr="00B76D32" w:rsidR="00B76D32">
        <w:rPr>
          <w:lang w:val="en-US"/>
        </w:rPr>
        <w:t xml:space="preserve">protect </w:t>
      </w:r>
      <w:r>
        <w:rPr>
          <w:lang w:val="en-US"/>
        </w:rPr>
        <w:t>the weaker transmission,</w:t>
      </w:r>
      <w:r w:rsidRPr="00B76D32" w:rsidR="00B76D32">
        <w:rPr>
          <w:lang w:val="en-US"/>
        </w:rPr>
        <w:t xml:space="preserve"> since this</w:t>
      </w:r>
      <w:r>
        <w:rPr>
          <w:lang w:val="en-US"/>
        </w:rPr>
        <w:t xml:space="preserve"> interference</w:t>
      </w:r>
      <w:r w:rsidRPr="00B76D32" w:rsidR="00B76D32">
        <w:rPr>
          <w:lang w:val="en-US"/>
        </w:rPr>
        <w:t xml:space="preserve"> is in the radiated domain, not </w:t>
      </w:r>
      <w:r>
        <w:rPr>
          <w:lang w:val="en-US"/>
        </w:rPr>
        <w:t xml:space="preserve">in </w:t>
      </w:r>
      <w:r w:rsidRPr="00B76D32" w:rsidR="00B76D32">
        <w:rPr>
          <w:lang w:val="en-US"/>
        </w:rPr>
        <w:t xml:space="preserve">conducted </w:t>
      </w:r>
      <w:r>
        <w:rPr>
          <w:lang w:val="en-US"/>
        </w:rPr>
        <w:t xml:space="preserve">domain </w:t>
      </w:r>
      <w:r w:rsidRPr="00B76D32" w:rsidR="00B76D32">
        <w:rPr>
          <w:lang w:val="en-US"/>
        </w:rPr>
        <w:t>as per the in-band SEM test requirement.</w:t>
      </w:r>
    </w:p>
    <w:p w:rsidR="00B76D32" w:rsidP="00AB7B14" w:rsidRDefault="00B76D32" w14:paraId="121115BD" w14:textId="19580C3D">
      <w:pPr>
        <w:rPr>
          <w:b/>
          <w:i/>
        </w:rPr>
      </w:pPr>
      <w:r>
        <w:rPr>
          <w:b/>
          <w:i/>
        </w:rPr>
        <w:t>Proposal</w:t>
      </w:r>
      <w:r w:rsidRPr="00141397">
        <w:rPr>
          <w:b/>
          <w:i/>
        </w:rPr>
        <w:t xml:space="preserve"> </w:t>
      </w:r>
      <w:r w:rsidRPr="00141397">
        <w:rPr>
          <w:b/>
          <w:i/>
        </w:rPr>
        <w:fldChar w:fldCharType="begin"/>
      </w:r>
      <w:r w:rsidRPr="00141397">
        <w:rPr>
          <w:b/>
          <w:i/>
        </w:rPr>
        <w:instrText xml:space="preserve"> SEQ Observation \* ARABIC </w:instrText>
      </w:r>
      <w:r w:rsidRPr="00141397">
        <w:rPr>
          <w:b/>
          <w:i/>
        </w:rPr>
        <w:fldChar w:fldCharType="separate"/>
      </w:r>
      <w:r w:rsidRPr="00141397">
        <w:rPr>
          <w:b/>
          <w:i/>
        </w:rPr>
        <w:t>1</w:t>
      </w:r>
      <w:r w:rsidRPr="00141397">
        <w:rPr>
          <w:b/>
          <w:i/>
        </w:rPr>
        <w:fldChar w:fldCharType="end"/>
      </w:r>
      <w:r w:rsidRPr="00141397">
        <w:rPr>
          <w:b/>
          <w:i/>
        </w:rPr>
        <w:t>:</w:t>
      </w:r>
      <w:r>
        <w:rPr>
          <w:b/>
          <w:i/>
        </w:rPr>
        <w:t xml:space="preserve"> </w:t>
      </w:r>
      <w:r w:rsidR="007E647D">
        <w:rPr>
          <w:b/>
          <w:i/>
        </w:rPr>
        <w:t>Do not relax the NTN ACLR requirements beyond the TN ACLR requirements for each power class.</w:t>
      </w:r>
    </w:p>
    <w:p w:rsidRPr="007E647D" w:rsidR="007E647D" w:rsidP="00AB7B14" w:rsidRDefault="007E647D" w14:paraId="0C7CF48F" w14:textId="6B1E7C0A">
      <w:pPr>
        <w:rPr>
          <w:b/>
          <w:i/>
        </w:rPr>
      </w:pPr>
      <w:r w:rsidRPr="007E647D">
        <w:rPr>
          <w:b/>
          <w:i/>
        </w:rPr>
        <w:t xml:space="preserve">Observation </w:t>
      </w:r>
      <w:r w:rsidRPr="007E647D">
        <w:rPr>
          <w:b/>
          <w:i/>
        </w:rPr>
        <w:t>3</w:t>
      </w:r>
      <w:r w:rsidRPr="007E647D">
        <w:rPr>
          <w:b/>
          <w:i/>
        </w:rPr>
        <w:t>: The TN specification for NR HPUE PC1 has a</w:t>
      </w:r>
      <w:r w:rsidRPr="007E647D">
        <w:rPr>
          <w:b/>
          <w:i/>
        </w:rPr>
        <w:t xml:space="preserve"> high</w:t>
      </w:r>
      <w:r w:rsidRPr="007E647D">
        <w:rPr>
          <w:b/>
          <w:i/>
        </w:rPr>
        <w:t xml:space="preserve"> ACLR </w:t>
      </w:r>
      <w:r w:rsidRPr="007E647D">
        <w:rPr>
          <w:b/>
          <w:i/>
        </w:rPr>
        <w:t>requirement</w:t>
      </w:r>
      <w:r w:rsidR="00994EAF">
        <w:rPr>
          <w:b/>
          <w:i/>
        </w:rPr>
        <w:t>.</w:t>
      </w:r>
      <w:r w:rsidRPr="003A665C">
        <w:rPr>
          <w:b/>
          <w:i/>
          <w:color w:val="FF0000"/>
        </w:rPr>
        <w:t xml:space="preserve"> </w:t>
      </w:r>
      <w:r w:rsidRPr="007E647D">
        <w:rPr>
          <w:b/>
          <w:i/>
        </w:rPr>
        <w:t>This specification</w:t>
      </w:r>
      <w:r w:rsidRPr="007E647D">
        <w:rPr>
          <w:b/>
          <w:i/>
        </w:rPr>
        <w:t xml:space="preserve"> is concerning UEs with a larger form factor than handheld</w:t>
      </w:r>
      <w:r w:rsidRPr="007E647D">
        <w:rPr>
          <w:b/>
          <w:i/>
        </w:rPr>
        <w:t xml:space="preserve"> devices</w:t>
      </w:r>
      <w:r w:rsidRPr="007E647D">
        <w:rPr>
          <w:b/>
          <w:i/>
        </w:rPr>
        <w:t>.</w:t>
      </w:r>
    </w:p>
    <w:p w:rsidR="009D44AF" w:rsidP="009D44AF" w:rsidRDefault="009D44AF" w14:paraId="32B500B0" w14:textId="515C67C7">
      <w:pPr>
        <w:rPr>
          <w:b/>
          <w:i/>
        </w:rPr>
      </w:pPr>
      <w:r>
        <w:rPr>
          <w:b/>
          <w:i/>
        </w:rPr>
        <w:t>Proposal</w:t>
      </w:r>
      <w:r w:rsidRPr="00141397">
        <w:rPr>
          <w:b/>
          <w:i/>
        </w:rPr>
        <w:t xml:space="preserve"> </w:t>
      </w:r>
      <w:r>
        <w:rPr>
          <w:b/>
          <w:i/>
        </w:rPr>
        <w:t>2</w:t>
      </w:r>
      <w:r w:rsidRPr="00141397">
        <w:rPr>
          <w:b/>
          <w:i/>
        </w:rPr>
        <w:t>:</w:t>
      </w:r>
      <w:r>
        <w:rPr>
          <w:b/>
          <w:i/>
        </w:rPr>
        <w:t xml:space="preserve"> Specify two separate ACLR requirements for PC1 handheld and non-handheld devices. For non-handheld PC1 devices, reuse the </w:t>
      </w:r>
      <w:r w:rsidR="003A665C">
        <w:rPr>
          <w:b/>
          <w:i/>
        </w:rPr>
        <w:t xml:space="preserve">PC1 </w:t>
      </w:r>
      <w:r>
        <w:rPr>
          <w:b/>
          <w:i/>
        </w:rPr>
        <w:t>TN ACLR requirements.</w:t>
      </w:r>
    </w:p>
    <w:p w:rsidR="00AD1440" w:rsidP="00AD1440" w:rsidRDefault="00AD1440" w14:paraId="6B832C3B" w14:textId="564D624C">
      <w:pPr>
        <w:pStyle w:val="Heading1"/>
      </w:pPr>
      <w:r>
        <w:t>SAR Related Issues</w:t>
      </w:r>
    </w:p>
    <w:p w:rsidR="00AD1440" w:rsidP="009D44AF" w:rsidRDefault="00AD1440" w14:paraId="6B28A319" w14:textId="77777777">
      <w:pPr>
        <w:rPr>
          <w:bCs/>
        </w:rPr>
      </w:pPr>
      <w:r w:rsidRPr="00AD1440">
        <w:rPr>
          <w:bCs/>
        </w:rPr>
        <w:t xml:space="preserve">SAR methods have conventionally involved </w:t>
      </w:r>
      <w:r>
        <w:rPr>
          <w:bCs/>
        </w:rPr>
        <w:t xml:space="preserve">either </w:t>
      </w:r>
    </w:p>
    <w:p w:rsidR="00AD1440" w:rsidP="00AD1440" w:rsidRDefault="00AD1440" w14:paraId="117AF0EF" w14:textId="49F8DE49">
      <w:pPr>
        <w:ind w:left="284"/>
        <w:rPr>
          <w:bCs/>
        </w:rPr>
      </w:pPr>
      <w:r>
        <w:rPr>
          <w:bCs/>
        </w:rPr>
        <w:t xml:space="preserve">a) a transmit </w:t>
      </w:r>
      <w:r w:rsidRPr="00AD1440">
        <w:rPr>
          <w:bCs/>
        </w:rPr>
        <w:t>power backoff</w:t>
      </w:r>
      <w:r>
        <w:rPr>
          <w:bCs/>
        </w:rPr>
        <w:t xml:space="preserve">, </w:t>
      </w:r>
      <w:r>
        <w:rPr>
          <w:bCs/>
        </w:rPr>
        <w:br/>
      </w:r>
      <w:r>
        <w:rPr>
          <w:bCs/>
        </w:rPr>
        <w:t xml:space="preserve">b) a transmission duty cycle restriction, or </w:t>
      </w:r>
      <w:r>
        <w:rPr>
          <w:bCs/>
        </w:rPr>
        <w:br/>
      </w:r>
      <w:r>
        <w:rPr>
          <w:bCs/>
        </w:rPr>
        <w:t>c) a combination of both</w:t>
      </w:r>
      <w:r w:rsidRPr="00AD1440">
        <w:rPr>
          <w:bCs/>
        </w:rPr>
        <w:t xml:space="preserve"> </w:t>
      </w:r>
      <w:r>
        <w:rPr>
          <w:bCs/>
        </w:rPr>
        <w:t xml:space="preserve">a) and b) </w:t>
      </w:r>
    </w:p>
    <w:p w:rsidR="00AD1440" w:rsidP="00AD1440" w:rsidRDefault="00AD1440" w14:paraId="6E8879C3" w14:textId="77777777">
      <w:pPr>
        <w:rPr>
          <w:bCs/>
        </w:rPr>
      </w:pPr>
      <w:r w:rsidRPr="00AD1440">
        <w:rPr>
          <w:bCs/>
        </w:rPr>
        <w:t xml:space="preserve">when SAR limits are reached by a UE. </w:t>
      </w:r>
    </w:p>
    <w:p w:rsidR="009D250B" w:rsidP="00AD1440" w:rsidRDefault="00AD1440" w14:paraId="5A1CEF50" w14:textId="32184AF5">
      <w:pPr>
        <w:rPr>
          <w:b/>
          <w:i/>
        </w:rPr>
      </w:pPr>
      <w:r w:rsidRPr="00AD1440">
        <w:rPr>
          <w:b/>
          <w:i/>
        </w:rPr>
        <w:t xml:space="preserve">Observation </w:t>
      </w:r>
      <w:r w:rsidRPr="00AD1440">
        <w:rPr>
          <w:b/>
          <w:i/>
        </w:rPr>
        <w:t>4</w:t>
      </w:r>
      <w:r w:rsidRPr="00AD1440">
        <w:rPr>
          <w:b/>
          <w:i/>
        </w:rPr>
        <w:t xml:space="preserve">: </w:t>
      </w:r>
      <w:r w:rsidRPr="00AD1440">
        <w:rPr>
          <w:b/>
          <w:i/>
        </w:rPr>
        <w:t>In a non-terrestrial network,</w:t>
      </w:r>
      <w:r w:rsidRPr="00AD1440">
        <w:rPr>
          <w:b/>
          <w:i/>
        </w:rPr>
        <w:t xml:space="preserve"> if the UE is using a UL duty cycle significant enough to exceed SAR limits, it is </w:t>
      </w:r>
      <w:r w:rsidRPr="00AD1440">
        <w:rPr>
          <w:b/>
          <w:i/>
        </w:rPr>
        <w:t>like</w:t>
      </w:r>
      <w:r w:rsidRPr="00AD1440">
        <w:rPr>
          <w:b/>
          <w:i/>
        </w:rPr>
        <w:t>ly at the edge of coverage (using a low MCS with lots of parity), in which case,</w:t>
      </w:r>
      <w:r w:rsidR="00BB0D09">
        <w:rPr>
          <w:b/>
          <w:i/>
        </w:rPr>
        <w:t xml:space="preserve"> transmit</w:t>
      </w:r>
      <w:r w:rsidRPr="00AD1440">
        <w:rPr>
          <w:b/>
          <w:i/>
        </w:rPr>
        <w:t xml:space="preserve"> </w:t>
      </w:r>
      <w:r w:rsidRPr="00AD1440">
        <w:rPr>
          <w:b/>
          <w:i/>
        </w:rPr>
        <w:t>power backoff</w:t>
      </w:r>
      <w:r>
        <w:rPr>
          <w:b/>
          <w:i/>
        </w:rPr>
        <w:t xml:space="preserve"> is not a preferred </w:t>
      </w:r>
      <w:r w:rsidR="00BB0D09">
        <w:rPr>
          <w:b/>
          <w:i/>
        </w:rPr>
        <w:t>option as it will almost invariably lead to radio link failure</w:t>
      </w:r>
      <w:r w:rsidRPr="00AD1440">
        <w:rPr>
          <w:b/>
          <w:i/>
        </w:rPr>
        <w:t xml:space="preserve">. </w:t>
      </w:r>
    </w:p>
    <w:p w:rsidR="00BB0D09" w:rsidP="00BB0D09" w:rsidRDefault="00BB0D09" w14:paraId="133152E1" w14:textId="557DD7FE">
      <w:pPr>
        <w:rPr>
          <w:bCs/>
          <w:iCs/>
          <w:lang w:val="en-US"/>
        </w:rPr>
      </w:pPr>
      <w:r>
        <w:rPr>
          <w:bCs/>
          <w:iCs/>
          <w:lang w:val="en-US"/>
        </w:rPr>
        <w:t xml:space="preserve">Any solution that is based </w:t>
      </w:r>
      <w:r w:rsidR="00044E46">
        <w:rPr>
          <w:bCs/>
          <w:iCs/>
          <w:lang w:val="en-US"/>
        </w:rPr>
        <w:t>solely</w:t>
      </w:r>
      <w:r>
        <w:rPr>
          <w:bCs/>
          <w:iCs/>
          <w:lang w:val="en-US"/>
        </w:rPr>
        <w:t xml:space="preserve"> on network-side or UE-side control of duty cycle restriction is going to be inefficient:</w:t>
      </w:r>
    </w:p>
    <w:p w:rsidR="00BB0D09" w:rsidP="00BB0D09" w:rsidRDefault="00BB0D09" w14:paraId="23CEE1F7" w14:textId="395F9038">
      <w:pPr>
        <w:pStyle w:val="ListParagraph"/>
        <w:numPr>
          <w:ilvl w:val="0"/>
          <w:numId w:val="20"/>
        </w:numPr>
        <w:rPr>
          <w:bCs/>
          <w:iCs/>
          <w:lang w:val="en-US"/>
        </w:rPr>
      </w:pPr>
      <w:r w:rsidRPr="00BB0D09">
        <w:rPr>
          <w:bCs/>
          <w:iCs/>
          <w:lang w:val="en-US"/>
        </w:rPr>
        <w:t>If the RAN autonomously starts dropping UL slots it may pre-emptively reduce the UE</w:t>
      </w:r>
      <w:r w:rsidR="00193D49">
        <w:rPr>
          <w:bCs/>
          <w:iCs/>
          <w:lang w:val="en-US"/>
        </w:rPr>
        <w:t>’</w:t>
      </w:r>
      <w:r w:rsidRPr="00BB0D09">
        <w:rPr>
          <w:bCs/>
          <w:iCs/>
          <w:lang w:val="en-US"/>
        </w:rPr>
        <w:t xml:space="preserve">s </w:t>
      </w:r>
      <w:r w:rsidR="00193D49">
        <w:rPr>
          <w:bCs/>
          <w:iCs/>
          <w:lang w:val="en-US"/>
        </w:rPr>
        <w:t>uplink throughput.</w:t>
      </w:r>
    </w:p>
    <w:p w:rsidRPr="00BB0D09" w:rsidR="00BB0D09" w:rsidP="00BB0D09" w:rsidRDefault="00BB0D09" w14:paraId="0CC722E4" w14:textId="4CD32D39">
      <w:pPr>
        <w:pStyle w:val="ListParagraph"/>
        <w:numPr>
          <w:ilvl w:val="0"/>
          <w:numId w:val="20"/>
        </w:numPr>
        <w:rPr>
          <w:bCs/>
          <w:iCs/>
          <w:lang w:val="en-US"/>
        </w:rPr>
      </w:pPr>
      <w:r w:rsidRPr="00BB0D09">
        <w:rPr>
          <w:bCs/>
          <w:iCs/>
          <w:lang w:val="en-US"/>
        </w:rPr>
        <w:t>If the UE has a self</w:t>
      </w:r>
      <w:r>
        <w:rPr>
          <w:bCs/>
          <w:iCs/>
          <w:lang w:val="en-US"/>
        </w:rPr>
        <w:t>-</w:t>
      </w:r>
      <w:r w:rsidRPr="00BB0D09">
        <w:rPr>
          <w:bCs/>
          <w:iCs/>
          <w:lang w:val="en-US"/>
        </w:rPr>
        <w:t>monitoring function (this is already the case) and it drops packets to manage SAR</w:t>
      </w:r>
      <w:r>
        <w:rPr>
          <w:bCs/>
          <w:iCs/>
          <w:lang w:val="en-US"/>
        </w:rPr>
        <w:t>,</w:t>
      </w:r>
      <w:r w:rsidRPr="00BB0D09">
        <w:rPr>
          <w:bCs/>
          <w:iCs/>
          <w:lang w:val="en-US"/>
        </w:rPr>
        <w:t xml:space="preserve"> we may get RLF and RRC disconnection</w:t>
      </w:r>
      <w:r>
        <w:rPr>
          <w:bCs/>
          <w:iCs/>
          <w:lang w:val="en-US"/>
        </w:rPr>
        <w:t>.</w:t>
      </w:r>
    </w:p>
    <w:p w:rsidR="00882255" w:rsidP="00AD1440" w:rsidRDefault="00044E46" w14:paraId="2F8B07C9" w14:textId="09698694">
      <w:pPr>
        <w:rPr>
          <w:bCs/>
        </w:rPr>
      </w:pPr>
      <w:r>
        <w:rPr>
          <w:bCs/>
        </w:rPr>
        <w:t>A</w:t>
      </w:r>
      <w:r w:rsidRPr="00044E46">
        <w:rPr>
          <w:bCs/>
        </w:rPr>
        <w:t xml:space="preserve">n optional </w:t>
      </w:r>
      <w:r>
        <w:rPr>
          <w:bCs/>
        </w:rPr>
        <w:t xml:space="preserve">SAR mitigation </w:t>
      </w:r>
      <w:r w:rsidRPr="00044E46">
        <w:rPr>
          <w:bCs/>
        </w:rPr>
        <w:t>method based on the “UL duty cycle” is specified</w:t>
      </w:r>
      <w:r>
        <w:rPr>
          <w:bCs/>
        </w:rPr>
        <w:t xml:space="preserve"> in [4]</w:t>
      </w:r>
      <w:r w:rsidRPr="00044E46">
        <w:rPr>
          <w:bCs/>
        </w:rPr>
        <w:t xml:space="preserve">, where the UE can report </w:t>
      </w:r>
      <w:r>
        <w:rPr>
          <w:bCs/>
        </w:rPr>
        <w:t>a maximum UL duty cycle to the network</w:t>
      </w:r>
      <w:r w:rsidRPr="00044E46">
        <w:rPr>
          <w:bCs/>
        </w:rPr>
        <w:t>. If the percentage of transmitted uplink symbols at the UE exceeds the corresponding</w:t>
      </w:r>
      <w:r>
        <w:rPr>
          <w:bCs/>
        </w:rPr>
        <w:t xml:space="preserve"> duty cycle</w:t>
      </w:r>
      <w:r w:rsidRPr="00044E46">
        <w:rPr>
          <w:bCs/>
        </w:rPr>
        <w:t xml:space="preserve"> threshold, the UE </w:t>
      </w:r>
      <w:r>
        <w:rPr>
          <w:bCs/>
        </w:rPr>
        <w:t xml:space="preserve">should </w:t>
      </w:r>
      <w:r w:rsidRPr="00044E46">
        <w:rPr>
          <w:bCs/>
        </w:rPr>
        <w:t>do a power-class fallback</w:t>
      </w:r>
      <w:r>
        <w:rPr>
          <w:bCs/>
        </w:rPr>
        <w:t xml:space="preserve">. </w:t>
      </w:r>
      <w:r w:rsidRPr="00044E46">
        <w:rPr>
          <w:bCs/>
        </w:rPr>
        <w:t>However, this method i</w:t>
      </w:r>
      <w:r>
        <w:rPr>
          <w:bCs/>
        </w:rPr>
        <w:t xml:space="preserve">s not apparently used for </w:t>
      </w:r>
      <w:r w:rsidR="00882255">
        <w:rPr>
          <w:bCs/>
        </w:rPr>
        <w:t xml:space="preserve">UEs operating in </w:t>
      </w:r>
      <w:r>
        <w:rPr>
          <w:bCs/>
        </w:rPr>
        <w:t xml:space="preserve">FDD bands in the field. </w:t>
      </w:r>
    </w:p>
    <w:p w:rsidRPr="00882255" w:rsidR="00193D49" w:rsidP="00AD1440" w:rsidRDefault="00882255" w14:paraId="02D40499" w14:textId="51DA5627">
      <w:pPr>
        <w:rPr>
          <w:b/>
          <w:i/>
          <w:iCs/>
        </w:rPr>
      </w:pPr>
      <w:r w:rsidRPr="00882255">
        <w:rPr>
          <w:b/>
          <w:i/>
          <w:iCs/>
        </w:rPr>
        <w:t xml:space="preserve">Proposal 3: </w:t>
      </w:r>
      <w:r w:rsidRPr="00882255" w:rsidR="00044E46">
        <w:rPr>
          <w:b/>
          <w:i/>
          <w:iCs/>
        </w:rPr>
        <w:t>For NT</w:t>
      </w:r>
      <w:r w:rsidRPr="00882255">
        <w:rPr>
          <w:b/>
          <w:i/>
          <w:iCs/>
        </w:rPr>
        <w:t>N, extend the existing TN signalling mechanism for UL duty cycle reporting to</w:t>
      </w:r>
      <w:r w:rsidRPr="00882255">
        <w:rPr>
          <w:b/>
          <w:i/>
          <w:iCs/>
        </w:rPr>
        <w:t xml:space="preserve"> inform the RAN that it is close to the SAR limit, then the RAN will </w:t>
      </w:r>
      <w:r w:rsidR="00994EAF">
        <w:rPr>
          <w:b/>
          <w:i/>
          <w:iCs/>
        </w:rPr>
        <w:t>reduce the number of UL slots allocated to the UE.</w:t>
      </w:r>
      <w:r w:rsidRPr="00882255">
        <w:rPr>
          <w:b/>
          <w:i/>
          <w:iCs/>
        </w:rPr>
        <w:t xml:space="preserve"> </w:t>
      </w:r>
      <w:r w:rsidR="00994EAF">
        <w:rPr>
          <w:b/>
          <w:i/>
          <w:iCs/>
        </w:rPr>
        <w:t>W</w:t>
      </w:r>
      <w:r w:rsidRPr="00882255">
        <w:rPr>
          <w:b/>
          <w:i/>
          <w:iCs/>
        </w:rPr>
        <w:t xml:space="preserve">hen the SAR limit has fallen, the UE can </w:t>
      </w:r>
      <w:r>
        <w:rPr>
          <w:b/>
          <w:i/>
          <w:iCs/>
        </w:rPr>
        <w:t xml:space="preserve">signal the </w:t>
      </w:r>
      <w:r w:rsidR="00994EAF">
        <w:rPr>
          <w:b/>
          <w:i/>
          <w:iCs/>
        </w:rPr>
        <w:t xml:space="preserve">improved </w:t>
      </w:r>
      <w:r>
        <w:rPr>
          <w:b/>
          <w:i/>
          <w:iCs/>
        </w:rPr>
        <w:t xml:space="preserve">condition back </w:t>
      </w:r>
      <w:r w:rsidRPr="00882255">
        <w:rPr>
          <w:b/>
          <w:i/>
          <w:iCs/>
        </w:rPr>
        <w:t xml:space="preserve">to the RAN </w:t>
      </w:r>
      <w:r>
        <w:rPr>
          <w:b/>
          <w:i/>
          <w:iCs/>
        </w:rPr>
        <w:t>so that the</w:t>
      </w:r>
      <w:r w:rsidRPr="00882255">
        <w:rPr>
          <w:b/>
          <w:i/>
          <w:iCs/>
        </w:rPr>
        <w:t xml:space="preserve"> UL slots are picked back up</w:t>
      </w:r>
      <w:r w:rsidRPr="00882255">
        <w:rPr>
          <w:b/>
          <w:i/>
          <w:iCs/>
        </w:rPr>
        <w:t>.</w:t>
      </w:r>
    </w:p>
    <w:p w:rsidR="00FB5B05" w:rsidP="00743F2F" w:rsidRDefault="00FB5B05" w14:paraId="69A27753" w14:textId="637E71ED">
      <w:pPr>
        <w:pStyle w:val="Heading1"/>
        <w:ind w:left="0" w:firstLine="0"/>
      </w:pPr>
      <w:r>
        <w:t>Conclusions</w:t>
      </w:r>
    </w:p>
    <w:p w:rsidR="003A3C26" w:rsidP="003A3C26" w:rsidRDefault="003A3C26" w14:paraId="4F59B371" w14:textId="42299459">
      <w:r>
        <w:t>The observations and proposals are summarized as follows:</w:t>
      </w:r>
    </w:p>
    <w:p w:rsidRPr="007E647D" w:rsidR="009D44AF" w:rsidP="009D44AF" w:rsidRDefault="009D44AF" w14:paraId="5BBC6CBB" w14:textId="77777777">
      <w:pPr>
        <w:keepNext/>
        <w:rPr>
          <w:b/>
          <w:i/>
        </w:rPr>
      </w:pPr>
      <w:r w:rsidRPr="007E647D">
        <w:rPr>
          <w:b/>
          <w:i/>
        </w:rPr>
        <w:t xml:space="preserve">Observation </w:t>
      </w:r>
      <w:r w:rsidRPr="007E647D">
        <w:rPr>
          <w:b/>
          <w:i/>
        </w:rPr>
        <w:fldChar w:fldCharType="begin"/>
      </w:r>
      <w:r w:rsidRPr="007E647D">
        <w:rPr>
          <w:b/>
          <w:i/>
        </w:rPr>
        <w:instrText xml:space="preserve"> SEQ Observation \* ARABIC </w:instrText>
      </w:r>
      <w:r w:rsidRPr="007E647D">
        <w:rPr>
          <w:b/>
          <w:i/>
        </w:rPr>
        <w:fldChar w:fldCharType="separate"/>
      </w:r>
      <w:r w:rsidRPr="007E647D">
        <w:rPr>
          <w:b/>
          <w:i/>
        </w:rPr>
        <w:t>1</w:t>
      </w:r>
      <w:r w:rsidRPr="007E647D">
        <w:rPr>
          <w:b/>
          <w:i/>
        </w:rPr>
        <w:fldChar w:fldCharType="end"/>
      </w:r>
      <w:r w:rsidRPr="007E647D">
        <w:rPr>
          <w:b/>
          <w:i/>
        </w:rPr>
        <w:t xml:space="preserve">: Based on the TN-NTN coexistence study, some companies want to relax the ACLR requirements beyond the TN specifications. </w:t>
      </w:r>
    </w:p>
    <w:p w:rsidR="009D44AF" w:rsidP="009D44AF" w:rsidRDefault="009D44AF" w14:paraId="66A417B9" w14:textId="77777777">
      <w:pPr>
        <w:keepNext/>
        <w:rPr>
          <w:b/>
          <w:i/>
        </w:rPr>
      </w:pPr>
      <w:r w:rsidRPr="007E647D">
        <w:rPr>
          <w:b/>
          <w:i/>
        </w:rPr>
        <w:t xml:space="preserve"> Observation 2: There has been no discussion of self-interference when considering aggregate ACI at the satellite if the requirements are relaxed beyond the TN specifications.</w:t>
      </w:r>
    </w:p>
    <w:p w:rsidR="009D44AF" w:rsidP="009D44AF" w:rsidRDefault="009D44AF" w14:paraId="794E376B" w14:textId="77777777">
      <w:pPr>
        <w:rPr>
          <w:b/>
          <w:i/>
        </w:rPr>
      </w:pPr>
      <w:r w:rsidRPr="007E647D">
        <w:rPr>
          <w:b/>
          <w:i/>
        </w:rPr>
        <w:t>Observation 3: The TN specification for NR HPUE PC1 has a high ACLR requirement (38 dB). This specification is concerning UEs with a larger form factor than handheld devices.</w:t>
      </w:r>
    </w:p>
    <w:p w:rsidR="00994EAF" w:rsidP="00994EAF" w:rsidRDefault="00994EAF" w14:paraId="57071035" w14:textId="77777777">
      <w:pPr>
        <w:rPr>
          <w:b/>
          <w:i/>
        </w:rPr>
      </w:pPr>
      <w:r w:rsidRPr="00AD1440">
        <w:rPr>
          <w:b/>
          <w:i/>
        </w:rPr>
        <w:t>Observation 4: In a non-terrestrial network, if the UE is using a UL duty cycle significant enough to exceed SAR limits, it is likely at the edge of coverage (using a low MCS with lots of parity), in which case,</w:t>
      </w:r>
      <w:r>
        <w:rPr>
          <w:b/>
          <w:i/>
        </w:rPr>
        <w:t xml:space="preserve"> transmit</w:t>
      </w:r>
      <w:r w:rsidRPr="00AD1440">
        <w:rPr>
          <w:b/>
          <w:i/>
        </w:rPr>
        <w:t xml:space="preserve"> power backoff</w:t>
      </w:r>
      <w:r>
        <w:rPr>
          <w:b/>
          <w:i/>
        </w:rPr>
        <w:t xml:space="preserve"> is not a preferred option as it will almost invariably lead to radio link failure</w:t>
      </w:r>
      <w:r w:rsidRPr="00AD1440">
        <w:rPr>
          <w:b/>
          <w:i/>
        </w:rPr>
        <w:t xml:space="preserve">. </w:t>
      </w:r>
    </w:p>
    <w:p w:rsidRPr="007E647D" w:rsidR="009D44AF" w:rsidP="009D44AF" w:rsidRDefault="009D44AF" w14:paraId="5E7581D5" w14:textId="77777777">
      <w:pPr>
        <w:rPr>
          <w:b/>
          <w:i/>
        </w:rPr>
      </w:pPr>
    </w:p>
    <w:p w:rsidR="009D44AF" w:rsidP="009D44AF" w:rsidRDefault="009D44AF" w14:paraId="47E8163E" w14:textId="77777777">
      <w:pPr>
        <w:rPr>
          <w:b/>
          <w:i/>
        </w:rPr>
      </w:pPr>
      <w:r>
        <w:rPr>
          <w:b/>
          <w:i/>
        </w:rPr>
        <w:t>Proposal</w:t>
      </w:r>
      <w:r w:rsidRPr="00141397">
        <w:rPr>
          <w:b/>
          <w:i/>
        </w:rPr>
        <w:t xml:space="preserve"> </w:t>
      </w:r>
      <w:r w:rsidRPr="00141397">
        <w:rPr>
          <w:b/>
          <w:i/>
        </w:rPr>
        <w:fldChar w:fldCharType="begin"/>
      </w:r>
      <w:r w:rsidRPr="00141397">
        <w:rPr>
          <w:b/>
          <w:i/>
        </w:rPr>
        <w:instrText xml:space="preserve"> SEQ Observation \* ARABIC </w:instrText>
      </w:r>
      <w:r w:rsidRPr="00141397">
        <w:rPr>
          <w:b/>
          <w:i/>
        </w:rPr>
        <w:fldChar w:fldCharType="separate"/>
      </w:r>
      <w:r w:rsidRPr="00141397">
        <w:rPr>
          <w:b/>
          <w:i/>
        </w:rPr>
        <w:t>1</w:t>
      </w:r>
      <w:r w:rsidRPr="00141397">
        <w:rPr>
          <w:b/>
          <w:i/>
        </w:rPr>
        <w:fldChar w:fldCharType="end"/>
      </w:r>
      <w:r w:rsidRPr="00141397">
        <w:rPr>
          <w:b/>
          <w:i/>
        </w:rPr>
        <w:t>:</w:t>
      </w:r>
      <w:r>
        <w:rPr>
          <w:b/>
          <w:i/>
        </w:rPr>
        <w:t xml:space="preserve"> Do not relax the NTN ACLR requirements beyond the TN ACLR requirements for each power class.</w:t>
      </w:r>
    </w:p>
    <w:p w:rsidR="009D44AF" w:rsidP="009D44AF" w:rsidRDefault="009D44AF" w14:paraId="072D8B86" w14:textId="2704772D">
      <w:pPr>
        <w:rPr>
          <w:b/>
          <w:i/>
        </w:rPr>
      </w:pPr>
      <w:r>
        <w:rPr>
          <w:b/>
          <w:i/>
        </w:rPr>
        <w:t>Proposal</w:t>
      </w:r>
      <w:r w:rsidRPr="00141397">
        <w:rPr>
          <w:b/>
          <w:i/>
        </w:rPr>
        <w:t xml:space="preserve"> </w:t>
      </w:r>
      <w:r>
        <w:rPr>
          <w:b/>
          <w:i/>
        </w:rPr>
        <w:t>2</w:t>
      </w:r>
      <w:r w:rsidRPr="00141397">
        <w:rPr>
          <w:b/>
          <w:i/>
        </w:rPr>
        <w:t>:</w:t>
      </w:r>
      <w:r>
        <w:rPr>
          <w:b/>
          <w:i/>
        </w:rPr>
        <w:t xml:space="preserve"> Specify two separate ACLR requirements for PC1 handheld and non-handheld devices. For non-handheld PC1 devices, </w:t>
      </w:r>
      <w:r>
        <w:rPr>
          <w:b/>
          <w:i/>
        </w:rPr>
        <w:t>reuse</w:t>
      </w:r>
      <w:r>
        <w:rPr>
          <w:b/>
          <w:i/>
        </w:rPr>
        <w:t xml:space="preserve"> the </w:t>
      </w:r>
      <w:r w:rsidR="003A665C">
        <w:rPr>
          <w:b/>
          <w:i/>
        </w:rPr>
        <w:t xml:space="preserve">PC1 </w:t>
      </w:r>
      <w:r>
        <w:rPr>
          <w:b/>
          <w:i/>
        </w:rPr>
        <w:t>TN ACLR requirements.</w:t>
      </w:r>
    </w:p>
    <w:p w:rsidRPr="00882255" w:rsidR="00994EAF" w:rsidP="00994EAF" w:rsidRDefault="00994EAF" w14:paraId="445AF62B" w14:textId="77777777">
      <w:pPr>
        <w:rPr>
          <w:b/>
          <w:i/>
          <w:iCs/>
        </w:rPr>
      </w:pPr>
      <w:r w:rsidRPr="00882255">
        <w:rPr>
          <w:b/>
          <w:i/>
          <w:iCs/>
        </w:rPr>
        <w:t xml:space="preserve">Proposal 3: For NTN, extend the existing TN signalling mechanism for UL duty cycle reporting to inform the RAN that it is close to the SAR limit, then the RAN will </w:t>
      </w:r>
      <w:r>
        <w:rPr>
          <w:b/>
          <w:i/>
          <w:iCs/>
        </w:rPr>
        <w:t>reduce the number of UL slots allocated to the UE.</w:t>
      </w:r>
      <w:r w:rsidRPr="00882255">
        <w:rPr>
          <w:b/>
          <w:i/>
          <w:iCs/>
        </w:rPr>
        <w:t xml:space="preserve"> </w:t>
      </w:r>
      <w:r>
        <w:rPr>
          <w:b/>
          <w:i/>
          <w:iCs/>
        </w:rPr>
        <w:t>W</w:t>
      </w:r>
      <w:r w:rsidRPr="00882255">
        <w:rPr>
          <w:b/>
          <w:i/>
          <w:iCs/>
        </w:rPr>
        <w:t xml:space="preserve">hen the SAR limit has fallen, the UE can </w:t>
      </w:r>
      <w:r>
        <w:rPr>
          <w:b/>
          <w:i/>
          <w:iCs/>
        </w:rPr>
        <w:t xml:space="preserve">signal the improved condition back </w:t>
      </w:r>
      <w:r w:rsidRPr="00882255">
        <w:rPr>
          <w:b/>
          <w:i/>
          <w:iCs/>
        </w:rPr>
        <w:t xml:space="preserve">to the RAN </w:t>
      </w:r>
      <w:r>
        <w:rPr>
          <w:b/>
          <w:i/>
          <w:iCs/>
        </w:rPr>
        <w:t>so that the</w:t>
      </w:r>
      <w:r w:rsidRPr="00882255">
        <w:rPr>
          <w:b/>
          <w:i/>
          <w:iCs/>
        </w:rPr>
        <w:t xml:space="preserve"> UL slots are picked back up.</w:t>
      </w:r>
    </w:p>
    <w:p w:rsidRPr="009D44AF" w:rsidR="00994EAF" w:rsidP="009D44AF" w:rsidRDefault="00994EAF" w14:paraId="66F4472A" w14:textId="77777777">
      <w:pPr>
        <w:rPr>
          <w:bCs/>
        </w:rPr>
      </w:pPr>
    </w:p>
    <w:p w:rsidR="00244ED1" w:rsidP="00244ED1" w:rsidRDefault="00244ED1" w14:paraId="1E179421" w14:textId="10729A22">
      <w:pPr>
        <w:pStyle w:val="Heading1"/>
        <w:ind w:left="0" w:firstLine="0"/>
      </w:pPr>
      <w:r>
        <w:t>References</w:t>
      </w:r>
    </w:p>
    <w:p w:rsidR="00453C5E" w:rsidP="00244ED1" w:rsidRDefault="00244ED1" w14:paraId="5CA250C4" w14:textId="7688BAEA">
      <w:pPr>
        <w:pStyle w:val="EX"/>
        <w:tabs>
          <w:tab w:val="num" w:pos="369"/>
        </w:tabs>
        <w:overflowPunct/>
        <w:autoSpaceDE/>
        <w:autoSpaceDN/>
        <w:adjustRightInd/>
        <w:ind w:left="369" w:hanging="369"/>
        <w:textAlignment w:val="auto"/>
      </w:pPr>
      <w:r>
        <w:t xml:space="preserve">[1] </w:t>
      </w:r>
      <w:bookmarkStart w:name="_Ref13820109" w:id="2"/>
      <w:r w:rsidRPr="00453C5E" w:rsidR="00453C5E">
        <w:t>RP-242901, “Revised WID on Enhanced requirements and conductive test methodology for NR NTN and IoT</w:t>
      </w:r>
      <w:r w:rsidR="00453C5E">
        <w:t xml:space="preserve"> </w:t>
      </w:r>
      <w:r w:rsidRPr="00453C5E" w:rsidR="00453C5E">
        <w:t>NTN”, RAN#106.</w:t>
      </w:r>
    </w:p>
    <w:p w:rsidR="00244ED1" w:rsidP="00244ED1" w:rsidRDefault="00453C5E" w14:paraId="246DD23E" w14:textId="1DC1D840">
      <w:pPr>
        <w:pStyle w:val="EX"/>
        <w:tabs>
          <w:tab w:val="num" w:pos="369"/>
        </w:tabs>
        <w:overflowPunct/>
        <w:autoSpaceDE/>
        <w:autoSpaceDN/>
        <w:adjustRightInd/>
        <w:ind w:left="369" w:hanging="369"/>
        <w:textAlignment w:val="auto"/>
      </w:pPr>
      <w:r>
        <w:t xml:space="preserve">[2] </w:t>
      </w:r>
      <w:r w:rsidRPr="00804854" w:rsidR="00244ED1">
        <w:t>R</w:t>
      </w:r>
      <w:r w:rsidR="00244ED1">
        <w:t>4</w:t>
      </w:r>
      <w:r w:rsidRPr="00804854" w:rsidR="00244ED1">
        <w:t>-</w:t>
      </w:r>
      <w:r w:rsidR="00244ED1">
        <w:t>2500680</w:t>
      </w:r>
      <w:r w:rsidR="00244ED1">
        <w:t xml:space="preserve">, </w:t>
      </w:r>
      <w:r w:rsidR="00244ED1">
        <w:t>“</w:t>
      </w:r>
      <w:r w:rsidRPr="00244ED1" w:rsidR="00244ED1">
        <w:t>Topic summary for [114][128] NR_IoT_NTN_HPUE_part1</w:t>
      </w:r>
      <w:r w:rsidR="00244ED1">
        <w:t xml:space="preserve">”, </w:t>
      </w:r>
      <w:bookmarkEnd w:id="2"/>
      <w:r w:rsidR="00244ED1">
        <w:t>Moderator (Samsung)</w:t>
      </w:r>
    </w:p>
    <w:p w:rsidR="00244ED1" w:rsidP="00244ED1" w:rsidRDefault="00244ED1" w14:paraId="5D78C850" w14:textId="64639A2B">
      <w:pPr>
        <w:pStyle w:val="EX"/>
        <w:tabs>
          <w:tab w:val="num" w:pos="369"/>
        </w:tabs>
        <w:overflowPunct/>
        <w:autoSpaceDE/>
        <w:autoSpaceDN/>
        <w:adjustRightInd/>
        <w:ind w:left="369" w:hanging="369"/>
        <w:textAlignment w:val="auto"/>
      </w:pPr>
      <w:r>
        <w:t>[</w:t>
      </w:r>
      <w:r w:rsidR="00453C5E">
        <w:t>3</w:t>
      </w:r>
      <w:r>
        <w:t>] R4-</w:t>
      </w:r>
      <w:r>
        <w:t>250068</w:t>
      </w:r>
      <w:r>
        <w:t>1</w:t>
      </w:r>
      <w:r>
        <w:t>, “</w:t>
      </w:r>
      <w:r w:rsidRPr="00244ED1">
        <w:t>Topic summary for [114][12</w:t>
      </w:r>
      <w:r>
        <w:t>9</w:t>
      </w:r>
      <w:r w:rsidRPr="00244ED1">
        <w:t>] NR_IoT_NTN_HPUE_part</w:t>
      </w:r>
      <w:r>
        <w:t>2</w:t>
      </w:r>
      <w:r>
        <w:t>”, Moderator (</w:t>
      </w:r>
      <w:r>
        <w:t>vivo</w:t>
      </w:r>
      <w:r>
        <w:t>)</w:t>
      </w:r>
    </w:p>
    <w:p w:rsidRPr="004D3578" w:rsidR="00044E46" w:rsidP="00244ED1" w:rsidRDefault="00044E46" w14:paraId="237D6572" w14:textId="585E5A9C">
      <w:pPr>
        <w:pStyle w:val="EX"/>
        <w:tabs>
          <w:tab w:val="num" w:pos="369"/>
        </w:tabs>
        <w:overflowPunct/>
        <w:autoSpaceDE/>
        <w:autoSpaceDN/>
        <w:adjustRightInd/>
        <w:ind w:left="369" w:hanging="369"/>
        <w:textAlignment w:val="auto"/>
      </w:pPr>
      <w:r>
        <w:t xml:space="preserve">[4] </w:t>
      </w:r>
      <w:r w:rsidRPr="00044E46">
        <w:t>3GPP TS38.101-1 V19.0.0, “NR; User Equipment (UE) radio transmission and reception; Part 1: Range 1 Standalone”.</w:t>
      </w:r>
    </w:p>
    <w:p w:rsidRPr="006E1790" w:rsidR="0001596D" w:rsidP="00743F2F" w:rsidRDefault="0001596D" w14:paraId="28F2E4F4" w14:textId="24275B68"/>
    <w:sectPr w:rsidRPr="006E1790" w:rsidR="0001596D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77947" w:rsidRDefault="00977947" w14:paraId="4D98515B" w14:textId="77777777">
      <w:pPr>
        <w:spacing w:after="0"/>
      </w:pPr>
      <w:r>
        <w:separator/>
      </w:r>
    </w:p>
  </w:endnote>
  <w:endnote w:type="continuationSeparator" w:id="0">
    <w:p w:rsidR="00977947" w:rsidRDefault="00977947" w14:paraId="34B72A67" w14:textId="77777777">
      <w:pPr>
        <w:spacing w:after="0"/>
      </w:pPr>
      <w:r>
        <w:continuationSeparator/>
      </w:r>
    </w:p>
  </w:endnote>
  <w:endnote w:type="continuationNotice" w:id="1">
    <w:p w:rsidR="00977947" w:rsidRDefault="00977947" w14:paraId="1C5B4543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9383D2F" w:rsidTr="49383D2F" w14:paraId="2CBA7B3B" w14:textId="77777777">
      <w:trPr>
        <w:trHeight w:val="300"/>
      </w:trPr>
      <w:tc>
        <w:tcPr>
          <w:tcW w:w="3210" w:type="dxa"/>
        </w:tcPr>
        <w:p w:rsidR="49383D2F" w:rsidP="49383D2F" w:rsidRDefault="49383D2F" w14:paraId="4A12274F" w14:textId="089A90DD">
          <w:pPr>
            <w:pStyle w:val="Header"/>
            <w:ind w:left="-115"/>
          </w:pPr>
        </w:p>
      </w:tc>
      <w:tc>
        <w:tcPr>
          <w:tcW w:w="3210" w:type="dxa"/>
        </w:tcPr>
        <w:p w:rsidR="49383D2F" w:rsidP="49383D2F" w:rsidRDefault="49383D2F" w14:paraId="29574196" w14:textId="08248A95">
          <w:pPr>
            <w:pStyle w:val="Header"/>
            <w:jc w:val="center"/>
          </w:pPr>
        </w:p>
      </w:tc>
      <w:tc>
        <w:tcPr>
          <w:tcW w:w="3210" w:type="dxa"/>
        </w:tcPr>
        <w:p w:rsidR="49383D2F" w:rsidP="49383D2F" w:rsidRDefault="49383D2F" w14:paraId="4B3D5535" w14:textId="643ACBED">
          <w:pPr>
            <w:pStyle w:val="Header"/>
            <w:ind w:right="-115"/>
            <w:jc w:val="right"/>
          </w:pPr>
        </w:p>
      </w:tc>
    </w:tr>
  </w:tbl>
  <w:p w:rsidR="008B51AF" w:rsidRDefault="008B51AF" w14:paraId="32BC6482" w14:textId="4547C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77947" w:rsidRDefault="00977947" w14:paraId="7E306BD0" w14:textId="77777777">
      <w:pPr>
        <w:spacing w:after="0"/>
      </w:pPr>
      <w:r>
        <w:separator/>
      </w:r>
    </w:p>
  </w:footnote>
  <w:footnote w:type="continuationSeparator" w:id="0">
    <w:p w:rsidR="00977947" w:rsidRDefault="00977947" w14:paraId="2EBDA86B" w14:textId="77777777">
      <w:pPr>
        <w:spacing w:after="0"/>
      </w:pPr>
      <w:r>
        <w:continuationSeparator/>
      </w:r>
    </w:p>
  </w:footnote>
  <w:footnote w:type="continuationNotice" w:id="1">
    <w:p w:rsidR="00977947" w:rsidRDefault="00977947" w14:paraId="4E25F9A9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79E3" w:rsidRDefault="00EF79E3" w14:paraId="50E964EF" w14:textId="7777777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</w:r>
    <w:r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9383D2F" w:rsidTr="49383D2F" w14:paraId="76DBF71C" w14:textId="77777777">
      <w:trPr>
        <w:trHeight w:val="300"/>
      </w:trPr>
      <w:tc>
        <w:tcPr>
          <w:tcW w:w="3210" w:type="dxa"/>
        </w:tcPr>
        <w:p w:rsidR="49383D2F" w:rsidP="49383D2F" w:rsidRDefault="49383D2F" w14:paraId="1B5DDCC7" w14:textId="058161D1">
          <w:pPr>
            <w:pStyle w:val="Header"/>
            <w:ind w:left="-115"/>
          </w:pPr>
        </w:p>
      </w:tc>
      <w:tc>
        <w:tcPr>
          <w:tcW w:w="3210" w:type="dxa"/>
        </w:tcPr>
        <w:p w:rsidR="49383D2F" w:rsidP="49383D2F" w:rsidRDefault="49383D2F" w14:paraId="0D49836B" w14:textId="4AFACDF4">
          <w:pPr>
            <w:pStyle w:val="Header"/>
            <w:jc w:val="center"/>
          </w:pPr>
        </w:p>
      </w:tc>
      <w:tc>
        <w:tcPr>
          <w:tcW w:w="3210" w:type="dxa"/>
        </w:tcPr>
        <w:p w:rsidR="49383D2F" w:rsidP="49383D2F" w:rsidRDefault="49383D2F" w14:paraId="53CFA366" w14:textId="7C03B908">
          <w:pPr>
            <w:pStyle w:val="Header"/>
            <w:ind w:right="-115"/>
            <w:jc w:val="right"/>
          </w:pPr>
        </w:p>
      </w:tc>
    </w:tr>
  </w:tbl>
  <w:p w:rsidR="008B51AF" w:rsidRDefault="008B51AF" w14:paraId="72D6C2B2" w14:textId="70393E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108FF"/>
    <w:multiLevelType w:val="multilevel"/>
    <w:tmpl w:val="C09A549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8637392"/>
    <w:multiLevelType w:val="multilevel"/>
    <w:tmpl w:val="780852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F8F1969"/>
    <w:multiLevelType w:val="multilevel"/>
    <w:tmpl w:val="4516CC6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E717A35"/>
    <w:multiLevelType w:val="multilevel"/>
    <w:tmpl w:val="513E3F1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F7139C5"/>
    <w:multiLevelType w:val="hybridMultilevel"/>
    <w:tmpl w:val="56A4273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12443"/>
    <w:multiLevelType w:val="multilevel"/>
    <w:tmpl w:val="D4765AB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6" w15:restartNumberingAfterBreak="0">
    <w:nsid w:val="3D692624"/>
    <w:multiLevelType w:val="multilevel"/>
    <w:tmpl w:val="D4765AB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43E86AD3"/>
    <w:multiLevelType w:val="multilevel"/>
    <w:tmpl w:val="BD501E8A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180E42"/>
    <w:multiLevelType w:val="hybridMultilevel"/>
    <w:tmpl w:val="96C8FED2"/>
    <w:lvl w:ilvl="0" w:tplc="DBCCA4AA">
      <w:start w:val="15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FE954CE"/>
    <w:multiLevelType w:val="hybridMultilevel"/>
    <w:tmpl w:val="8EF82520"/>
    <w:lvl w:ilvl="0" w:tplc="87623062">
      <w:start w:val="3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0842CBF"/>
    <w:multiLevelType w:val="multilevel"/>
    <w:tmpl w:val="D4765AB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538E2D00"/>
    <w:multiLevelType w:val="multilevel"/>
    <w:tmpl w:val="D4765AB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2" w15:restartNumberingAfterBreak="0">
    <w:nsid w:val="53BB6660"/>
    <w:multiLevelType w:val="multilevel"/>
    <w:tmpl w:val="D4765AB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5525212B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54B54D8"/>
    <w:multiLevelType w:val="hybridMultilevel"/>
    <w:tmpl w:val="45845022"/>
    <w:lvl w:ilvl="0" w:tplc="D91C9AC6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7175491"/>
    <w:multiLevelType w:val="hybridMultilevel"/>
    <w:tmpl w:val="56A4273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545CD7"/>
    <w:multiLevelType w:val="hybridMultilevel"/>
    <w:tmpl w:val="E42E478C"/>
    <w:lvl w:ilvl="0" w:tplc="6E5AD70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611370"/>
    <w:multiLevelType w:val="multilevel"/>
    <w:tmpl w:val="D4765AB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8" w15:restartNumberingAfterBreak="0">
    <w:nsid w:val="6428219E"/>
    <w:multiLevelType w:val="hybridMultilevel"/>
    <w:tmpl w:val="D938D69E"/>
    <w:lvl w:ilvl="0" w:tplc="AFA831FC">
      <w:start w:val="15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AF05774"/>
    <w:multiLevelType w:val="multilevel"/>
    <w:tmpl w:val="8C08A2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7216144D"/>
    <w:multiLevelType w:val="multilevel"/>
    <w:tmpl w:val="D4765AB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79B97834"/>
    <w:multiLevelType w:val="multilevel"/>
    <w:tmpl w:val="D4765AB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7EA2538D"/>
    <w:multiLevelType w:val="hybridMultilevel"/>
    <w:tmpl w:val="0C380A8A"/>
    <w:lvl w:ilvl="0" w:tplc="9612B97A">
      <w:numFmt w:val="bullet"/>
      <w:lvlText w:val="-"/>
      <w:lvlJc w:val="left"/>
      <w:pPr>
        <w:ind w:left="1267" w:hanging="360"/>
      </w:pPr>
      <w:rPr>
        <w:rFonts w:hint="default" w:ascii="Arial" w:hAnsi="Arial" w:cs="Arial" w:eastAsiaTheme="minorHAnsi"/>
      </w:rPr>
    </w:lvl>
    <w:lvl w:ilvl="1" w:tplc="08090003">
      <w:start w:val="1"/>
      <w:numFmt w:val="bullet"/>
      <w:lvlText w:val="o"/>
      <w:lvlJc w:val="left"/>
      <w:pPr>
        <w:ind w:left="1987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hint="default" w:ascii="Wingdings" w:hAnsi="Wingdings"/>
      </w:rPr>
    </w:lvl>
  </w:abstractNum>
  <w:num w:numId="1" w16cid:durableId="873226880">
    <w:abstractNumId w:val="3"/>
  </w:num>
  <w:num w:numId="2" w16cid:durableId="1422875722">
    <w:abstractNumId w:val="22"/>
  </w:num>
  <w:num w:numId="3" w16cid:durableId="1740512952">
    <w:abstractNumId w:val="2"/>
  </w:num>
  <w:num w:numId="4" w16cid:durableId="1592742014">
    <w:abstractNumId w:val="4"/>
  </w:num>
  <w:num w:numId="5" w16cid:durableId="38214605">
    <w:abstractNumId w:val="15"/>
  </w:num>
  <w:num w:numId="6" w16cid:durableId="1528525574">
    <w:abstractNumId w:val="14"/>
  </w:num>
  <w:num w:numId="7" w16cid:durableId="1444108559">
    <w:abstractNumId w:val="16"/>
  </w:num>
  <w:num w:numId="8" w16cid:durableId="1216620214">
    <w:abstractNumId w:val="13"/>
  </w:num>
  <w:num w:numId="9" w16cid:durableId="386412605">
    <w:abstractNumId w:val="18"/>
  </w:num>
  <w:num w:numId="10" w16cid:durableId="903611100">
    <w:abstractNumId w:val="8"/>
  </w:num>
  <w:num w:numId="11" w16cid:durableId="490096322">
    <w:abstractNumId w:val="9"/>
  </w:num>
  <w:num w:numId="12" w16cid:durableId="390427065">
    <w:abstractNumId w:val="19"/>
  </w:num>
  <w:num w:numId="13" w16cid:durableId="503858718">
    <w:abstractNumId w:val="0"/>
  </w:num>
  <w:num w:numId="14" w16cid:durableId="1552299904">
    <w:abstractNumId w:val="5"/>
  </w:num>
  <w:num w:numId="15" w16cid:durableId="347608735">
    <w:abstractNumId w:val="11"/>
  </w:num>
  <w:num w:numId="16" w16cid:durableId="1066613528">
    <w:abstractNumId w:val="21"/>
  </w:num>
  <w:num w:numId="17" w16cid:durableId="840511568">
    <w:abstractNumId w:val="12"/>
  </w:num>
  <w:num w:numId="18" w16cid:durableId="1948153045">
    <w:abstractNumId w:val="17"/>
  </w:num>
  <w:num w:numId="19" w16cid:durableId="1154099634">
    <w:abstractNumId w:val="10"/>
  </w:num>
  <w:num w:numId="20" w16cid:durableId="1880051334">
    <w:abstractNumId w:val="1"/>
  </w:num>
  <w:num w:numId="21" w16cid:durableId="324862210">
    <w:abstractNumId w:val="20"/>
  </w:num>
  <w:num w:numId="22" w16cid:durableId="2081515658">
    <w:abstractNumId w:val="6"/>
  </w:num>
  <w:num w:numId="23" w16cid:durableId="1882132970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printFractionalCharacterWidth/>
  <w:attachedTemplate r:id="rId1"/>
  <w:linkStyles/>
  <w:trackRevisions w:val="false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9E3"/>
    <w:rsid w:val="00004133"/>
    <w:rsid w:val="000063A9"/>
    <w:rsid w:val="0001289C"/>
    <w:rsid w:val="0001596D"/>
    <w:rsid w:val="00037773"/>
    <w:rsid w:val="00044E46"/>
    <w:rsid w:val="0004506E"/>
    <w:rsid w:val="00046878"/>
    <w:rsid w:val="000470B2"/>
    <w:rsid w:val="00050792"/>
    <w:rsid w:val="000565F3"/>
    <w:rsid w:val="000611C6"/>
    <w:rsid w:val="000725AF"/>
    <w:rsid w:val="000744A6"/>
    <w:rsid w:val="00075023"/>
    <w:rsid w:val="00080964"/>
    <w:rsid w:val="00092E86"/>
    <w:rsid w:val="00096BA5"/>
    <w:rsid w:val="000A132F"/>
    <w:rsid w:val="000A2736"/>
    <w:rsid w:val="000B2AED"/>
    <w:rsid w:val="000B5EAA"/>
    <w:rsid w:val="000C0A37"/>
    <w:rsid w:val="000C34E3"/>
    <w:rsid w:val="000C38F8"/>
    <w:rsid w:val="000C6A08"/>
    <w:rsid w:val="000D7704"/>
    <w:rsid w:val="000E3D8A"/>
    <w:rsid w:val="000E6539"/>
    <w:rsid w:val="000F388A"/>
    <w:rsid w:val="000F436F"/>
    <w:rsid w:val="000F539B"/>
    <w:rsid w:val="000F5F70"/>
    <w:rsid w:val="000F613E"/>
    <w:rsid w:val="000F6DD7"/>
    <w:rsid w:val="000F7C80"/>
    <w:rsid w:val="00110882"/>
    <w:rsid w:val="00115A52"/>
    <w:rsid w:val="001228B0"/>
    <w:rsid w:val="0012353C"/>
    <w:rsid w:val="00123A48"/>
    <w:rsid w:val="00125E9C"/>
    <w:rsid w:val="00130EEE"/>
    <w:rsid w:val="00131269"/>
    <w:rsid w:val="00141397"/>
    <w:rsid w:val="00144A4F"/>
    <w:rsid w:val="00147679"/>
    <w:rsid w:val="00147BDD"/>
    <w:rsid w:val="00154753"/>
    <w:rsid w:val="00161249"/>
    <w:rsid w:val="00164F4A"/>
    <w:rsid w:val="001666BD"/>
    <w:rsid w:val="0017258F"/>
    <w:rsid w:val="00177DDE"/>
    <w:rsid w:val="00191155"/>
    <w:rsid w:val="001922F3"/>
    <w:rsid w:val="00192400"/>
    <w:rsid w:val="00193B49"/>
    <w:rsid w:val="00193BDC"/>
    <w:rsid w:val="00193D49"/>
    <w:rsid w:val="00195C4D"/>
    <w:rsid w:val="00196161"/>
    <w:rsid w:val="001A1332"/>
    <w:rsid w:val="001A1CAC"/>
    <w:rsid w:val="001A28D4"/>
    <w:rsid w:val="001A3B99"/>
    <w:rsid w:val="001A7996"/>
    <w:rsid w:val="001B01A4"/>
    <w:rsid w:val="001B06FA"/>
    <w:rsid w:val="001B1054"/>
    <w:rsid w:val="001B5E40"/>
    <w:rsid w:val="001B6C7E"/>
    <w:rsid w:val="001B795F"/>
    <w:rsid w:val="001C1E1C"/>
    <w:rsid w:val="001C31C3"/>
    <w:rsid w:val="001C50B6"/>
    <w:rsid w:val="001C646C"/>
    <w:rsid w:val="001D2465"/>
    <w:rsid w:val="001D2C96"/>
    <w:rsid w:val="001E056F"/>
    <w:rsid w:val="001E1FA2"/>
    <w:rsid w:val="001E2EC9"/>
    <w:rsid w:val="001F4EE5"/>
    <w:rsid w:val="001F5CC6"/>
    <w:rsid w:val="001F7AFE"/>
    <w:rsid w:val="00200D4A"/>
    <w:rsid w:val="002012B6"/>
    <w:rsid w:val="00204CA2"/>
    <w:rsid w:val="00215C8E"/>
    <w:rsid w:val="002213A3"/>
    <w:rsid w:val="00226220"/>
    <w:rsid w:val="00227941"/>
    <w:rsid w:val="00231C14"/>
    <w:rsid w:val="0023767E"/>
    <w:rsid w:val="002401D5"/>
    <w:rsid w:val="002429AC"/>
    <w:rsid w:val="0024308A"/>
    <w:rsid w:val="0024316C"/>
    <w:rsid w:val="00243A22"/>
    <w:rsid w:val="00244ED1"/>
    <w:rsid w:val="00247111"/>
    <w:rsid w:val="002514C1"/>
    <w:rsid w:val="0025226E"/>
    <w:rsid w:val="00253847"/>
    <w:rsid w:val="00253DCD"/>
    <w:rsid w:val="00255C08"/>
    <w:rsid w:val="00271F04"/>
    <w:rsid w:val="00272D03"/>
    <w:rsid w:val="0027388D"/>
    <w:rsid w:val="00280485"/>
    <w:rsid w:val="002816EF"/>
    <w:rsid w:val="00283557"/>
    <w:rsid w:val="00292E5D"/>
    <w:rsid w:val="002A1AE7"/>
    <w:rsid w:val="002A67E1"/>
    <w:rsid w:val="002A7670"/>
    <w:rsid w:val="002B1B76"/>
    <w:rsid w:val="002C4AC2"/>
    <w:rsid w:val="002C6BA9"/>
    <w:rsid w:val="002C6E6B"/>
    <w:rsid w:val="002E7C6F"/>
    <w:rsid w:val="002F3299"/>
    <w:rsid w:val="002F477C"/>
    <w:rsid w:val="00302C3F"/>
    <w:rsid w:val="00305075"/>
    <w:rsid w:val="00306BE1"/>
    <w:rsid w:val="00310D49"/>
    <w:rsid w:val="00313987"/>
    <w:rsid w:val="00321C1E"/>
    <w:rsid w:val="00331096"/>
    <w:rsid w:val="003360D0"/>
    <w:rsid w:val="00336DE7"/>
    <w:rsid w:val="00350112"/>
    <w:rsid w:val="00353E9A"/>
    <w:rsid w:val="00354954"/>
    <w:rsid w:val="00355E78"/>
    <w:rsid w:val="00363E95"/>
    <w:rsid w:val="00374BCF"/>
    <w:rsid w:val="00380DED"/>
    <w:rsid w:val="00381057"/>
    <w:rsid w:val="00384D16"/>
    <w:rsid w:val="00386876"/>
    <w:rsid w:val="00387A39"/>
    <w:rsid w:val="003924DA"/>
    <w:rsid w:val="00394115"/>
    <w:rsid w:val="003A2EF0"/>
    <w:rsid w:val="003A3C26"/>
    <w:rsid w:val="003A57E0"/>
    <w:rsid w:val="003A5EA3"/>
    <w:rsid w:val="003A665C"/>
    <w:rsid w:val="003A7699"/>
    <w:rsid w:val="003B06AA"/>
    <w:rsid w:val="003B5209"/>
    <w:rsid w:val="003C1114"/>
    <w:rsid w:val="003C31BE"/>
    <w:rsid w:val="003C3234"/>
    <w:rsid w:val="003C68AB"/>
    <w:rsid w:val="003C6B7D"/>
    <w:rsid w:val="003D1A62"/>
    <w:rsid w:val="003E076C"/>
    <w:rsid w:val="003E07CE"/>
    <w:rsid w:val="003E294D"/>
    <w:rsid w:val="003E30E8"/>
    <w:rsid w:val="003E3E77"/>
    <w:rsid w:val="003E4FF0"/>
    <w:rsid w:val="003F108C"/>
    <w:rsid w:val="003F279B"/>
    <w:rsid w:val="0040193F"/>
    <w:rsid w:val="004023A2"/>
    <w:rsid w:val="00404F0B"/>
    <w:rsid w:val="004074C8"/>
    <w:rsid w:val="00411462"/>
    <w:rsid w:val="00415351"/>
    <w:rsid w:val="00415904"/>
    <w:rsid w:val="00422C30"/>
    <w:rsid w:val="00424DAD"/>
    <w:rsid w:val="004252E6"/>
    <w:rsid w:val="0042641C"/>
    <w:rsid w:val="00430CB2"/>
    <w:rsid w:val="004318C8"/>
    <w:rsid w:val="00432AD8"/>
    <w:rsid w:val="0043593B"/>
    <w:rsid w:val="004375D1"/>
    <w:rsid w:val="00442612"/>
    <w:rsid w:val="00443279"/>
    <w:rsid w:val="00445F92"/>
    <w:rsid w:val="00450068"/>
    <w:rsid w:val="00453C5E"/>
    <w:rsid w:val="00455037"/>
    <w:rsid w:val="0046004F"/>
    <w:rsid w:val="00461A44"/>
    <w:rsid w:val="00466E97"/>
    <w:rsid w:val="00482E0B"/>
    <w:rsid w:val="004850B7"/>
    <w:rsid w:val="00486CBF"/>
    <w:rsid w:val="004879FC"/>
    <w:rsid w:val="00487CDF"/>
    <w:rsid w:val="00487EB3"/>
    <w:rsid w:val="00490BFE"/>
    <w:rsid w:val="0049373F"/>
    <w:rsid w:val="004972D6"/>
    <w:rsid w:val="004A0A76"/>
    <w:rsid w:val="004A1542"/>
    <w:rsid w:val="004A7951"/>
    <w:rsid w:val="004A7CA7"/>
    <w:rsid w:val="004B0AD4"/>
    <w:rsid w:val="004B4A2C"/>
    <w:rsid w:val="004B4FA2"/>
    <w:rsid w:val="004B7A12"/>
    <w:rsid w:val="004C29DC"/>
    <w:rsid w:val="004C56E9"/>
    <w:rsid w:val="004C79C6"/>
    <w:rsid w:val="004D0032"/>
    <w:rsid w:val="004D21D1"/>
    <w:rsid w:val="004D4DBE"/>
    <w:rsid w:val="004D59AC"/>
    <w:rsid w:val="004D6BDB"/>
    <w:rsid w:val="004E2054"/>
    <w:rsid w:val="004E50E2"/>
    <w:rsid w:val="004E5279"/>
    <w:rsid w:val="004F3F3A"/>
    <w:rsid w:val="004F4AEF"/>
    <w:rsid w:val="004F7AF6"/>
    <w:rsid w:val="00505CA9"/>
    <w:rsid w:val="00507A3F"/>
    <w:rsid w:val="00512103"/>
    <w:rsid w:val="00513CDD"/>
    <w:rsid w:val="005179BA"/>
    <w:rsid w:val="005207BC"/>
    <w:rsid w:val="005311FF"/>
    <w:rsid w:val="00534AEA"/>
    <w:rsid w:val="00534FCD"/>
    <w:rsid w:val="00540B64"/>
    <w:rsid w:val="0054294F"/>
    <w:rsid w:val="00545A53"/>
    <w:rsid w:val="0055097D"/>
    <w:rsid w:val="00554BA8"/>
    <w:rsid w:val="00555012"/>
    <w:rsid w:val="005575C4"/>
    <w:rsid w:val="00561369"/>
    <w:rsid w:val="00562A17"/>
    <w:rsid w:val="00563150"/>
    <w:rsid w:val="00572AFA"/>
    <w:rsid w:val="00576DB6"/>
    <w:rsid w:val="00591C47"/>
    <w:rsid w:val="005924CE"/>
    <w:rsid w:val="005927B8"/>
    <w:rsid w:val="005931A7"/>
    <w:rsid w:val="00594F8B"/>
    <w:rsid w:val="00595547"/>
    <w:rsid w:val="005966FF"/>
    <w:rsid w:val="005A0E9E"/>
    <w:rsid w:val="005A167E"/>
    <w:rsid w:val="005A3DAB"/>
    <w:rsid w:val="005A64A6"/>
    <w:rsid w:val="005A6935"/>
    <w:rsid w:val="005B2D74"/>
    <w:rsid w:val="005C00C6"/>
    <w:rsid w:val="005C2214"/>
    <w:rsid w:val="005C637D"/>
    <w:rsid w:val="005C68D8"/>
    <w:rsid w:val="005D2AA2"/>
    <w:rsid w:val="005D5C51"/>
    <w:rsid w:val="005E03B2"/>
    <w:rsid w:val="005E08D9"/>
    <w:rsid w:val="005E4588"/>
    <w:rsid w:val="005E7200"/>
    <w:rsid w:val="005F4DB0"/>
    <w:rsid w:val="005F7910"/>
    <w:rsid w:val="00600ECA"/>
    <w:rsid w:val="0060330E"/>
    <w:rsid w:val="006047B3"/>
    <w:rsid w:val="0061133D"/>
    <w:rsid w:val="00611D73"/>
    <w:rsid w:val="00613311"/>
    <w:rsid w:val="00620E14"/>
    <w:rsid w:val="006211A6"/>
    <w:rsid w:val="006240D9"/>
    <w:rsid w:val="00624826"/>
    <w:rsid w:val="00626FD8"/>
    <w:rsid w:val="00634370"/>
    <w:rsid w:val="00637267"/>
    <w:rsid w:val="00646E02"/>
    <w:rsid w:val="0064767A"/>
    <w:rsid w:val="00647BAC"/>
    <w:rsid w:val="006565DA"/>
    <w:rsid w:val="006574A7"/>
    <w:rsid w:val="00660FE1"/>
    <w:rsid w:val="00661150"/>
    <w:rsid w:val="006626D8"/>
    <w:rsid w:val="006711F8"/>
    <w:rsid w:val="00677479"/>
    <w:rsid w:val="00687499"/>
    <w:rsid w:val="0068756B"/>
    <w:rsid w:val="00687A1C"/>
    <w:rsid w:val="006A086A"/>
    <w:rsid w:val="006A2965"/>
    <w:rsid w:val="006A5134"/>
    <w:rsid w:val="006A67D1"/>
    <w:rsid w:val="006A7D49"/>
    <w:rsid w:val="006B498C"/>
    <w:rsid w:val="006B49B0"/>
    <w:rsid w:val="006B4D01"/>
    <w:rsid w:val="006B5DF5"/>
    <w:rsid w:val="006B7C37"/>
    <w:rsid w:val="006C170F"/>
    <w:rsid w:val="006C1FEA"/>
    <w:rsid w:val="006C2E1F"/>
    <w:rsid w:val="006C3B4F"/>
    <w:rsid w:val="006C3D59"/>
    <w:rsid w:val="006C3DE1"/>
    <w:rsid w:val="006C6704"/>
    <w:rsid w:val="006C7CAD"/>
    <w:rsid w:val="006D0FCE"/>
    <w:rsid w:val="006D2321"/>
    <w:rsid w:val="006D6CEB"/>
    <w:rsid w:val="006E1790"/>
    <w:rsid w:val="006E1F16"/>
    <w:rsid w:val="006E287E"/>
    <w:rsid w:val="006F290B"/>
    <w:rsid w:val="006F7AC3"/>
    <w:rsid w:val="00705C76"/>
    <w:rsid w:val="00706C9B"/>
    <w:rsid w:val="00714F6D"/>
    <w:rsid w:val="00715728"/>
    <w:rsid w:val="00717E7F"/>
    <w:rsid w:val="00723A4F"/>
    <w:rsid w:val="00724BF8"/>
    <w:rsid w:val="00734C54"/>
    <w:rsid w:val="007351B2"/>
    <w:rsid w:val="007367E7"/>
    <w:rsid w:val="00736D0E"/>
    <w:rsid w:val="00737157"/>
    <w:rsid w:val="00743F2F"/>
    <w:rsid w:val="007456B3"/>
    <w:rsid w:val="00754AB4"/>
    <w:rsid w:val="007555AC"/>
    <w:rsid w:val="00755650"/>
    <w:rsid w:val="007703E7"/>
    <w:rsid w:val="00770B61"/>
    <w:rsid w:val="00775885"/>
    <w:rsid w:val="007834E2"/>
    <w:rsid w:val="00786417"/>
    <w:rsid w:val="00794196"/>
    <w:rsid w:val="0079547C"/>
    <w:rsid w:val="0079780C"/>
    <w:rsid w:val="00797DB4"/>
    <w:rsid w:val="007B0C9B"/>
    <w:rsid w:val="007B28DA"/>
    <w:rsid w:val="007B6819"/>
    <w:rsid w:val="007B75BA"/>
    <w:rsid w:val="007C4B8E"/>
    <w:rsid w:val="007C653D"/>
    <w:rsid w:val="007C78B3"/>
    <w:rsid w:val="007D2C90"/>
    <w:rsid w:val="007E0312"/>
    <w:rsid w:val="007E3D14"/>
    <w:rsid w:val="007E6027"/>
    <w:rsid w:val="007E647D"/>
    <w:rsid w:val="007F05E6"/>
    <w:rsid w:val="007F3442"/>
    <w:rsid w:val="007F61FE"/>
    <w:rsid w:val="007F74B5"/>
    <w:rsid w:val="007F7674"/>
    <w:rsid w:val="007F7D92"/>
    <w:rsid w:val="00802BCE"/>
    <w:rsid w:val="00803503"/>
    <w:rsid w:val="008052A6"/>
    <w:rsid w:val="0081058B"/>
    <w:rsid w:val="00811EEF"/>
    <w:rsid w:val="008153A7"/>
    <w:rsid w:val="0081698A"/>
    <w:rsid w:val="00816B5A"/>
    <w:rsid w:val="00821C2A"/>
    <w:rsid w:val="00823058"/>
    <w:rsid w:val="00825251"/>
    <w:rsid w:val="0082559E"/>
    <w:rsid w:val="008277C2"/>
    <w:rsid w:val="00833CD1"/>
    <w:rsid w:val="008354E6"/>
    <w:rsid w:val="00836591"/>
    <w:rsid w:val="008419FF"/>
    <w:rsid w:val="008560B8"/>
    <w:rsid w:val="00862469"/>
    <w:rsid w:val="008646DB"/>
    <w:rsid w:val="008649E5"/>
    <w:rsid w:val="00865872"/>
    <w:rsid w:val="00867A39"/>
    <w:rsid w:val="00873D5B"/>
    <w:rsid w:val="0088016D"/>
    <w:rsid w:val="00880B64"/>
    <w:rsid w:val="008815DB"/>
    <w:rsid w:val="00882255"/>
    <w:rsid w:val="00886F1E"/>
    <w:rsid w:val="00894D5C"/>
    <w:rsid w:val="008A0ECF"/>
    <w:rsid w:val="008A3568"/>
    <w:rsid w:val="008A3701"/>
    <w:rsid w:val="008A6E5C"/>
    <w:rsid w:val="008B04E5"/>
    <w:rsid w:val="008B0F75"/>
    <w:rsid w:val="008B51AF"/>
    <w:rsid w:val="008B690B"/>
    <w:rsid w:val="008B6FED"/>
    <w:rsid w:val="008B7A80"/>
    <w:rsid w:val="008C3B97"/>
    <w:rsid w:val="008C6BCA"/>
    <w:rsid w:val="008D0017"/>
    <w:rsid w:val="008D0967"/>
    <w:rsid w:val="008D2A6A"/>
    <w:rsid w:val="008D419F"/>
    <w:rsid w:val="008E00EA"/>
    <w:rsid w:val="008E4233"/>
    <w:rsid w:val="008E5FA0"/>
    <w:rsid w:val="008F0020"/>
    <w:rsid w:val="008F0FF3"/>
    <w:rsid w:val="008F2CF6"/>
    <w:rsid w:val="0090455A"/>
    <w:rsid w:val="009053DB"/>
    <w:rsid w:val="0090621E"/>
    <w:rsid w:val="00912626"/>
    <w:rsid w:val="00912740"/>
    <w:rsid w:val="0091284F"/>
    <w:rsid w:val="009128AE"/>
    <w:rsid w:val="00912C2E"/>
    <w:rsid w:val="0092169C"/>
    <w:rsid w:val="00921970"/>
    <w:rsid w:val="009244F9"/>
    <w:rsid w:val="00927341"/>
    <w:rsid w:val="00930869"/>
    <w:rsid w:val="00931C2B"/>
    <w:rsid w:val="00936BD0"/>
    <w:rsid w:val="00937DD0"/>
    <w:rsid w:val="009417F9"/>
    <w:rsid w:val="0094333D"/>
    <w:rsid w:val="00944070"/>
    <w:rsid w:val="00945CAE"/>
    <w:rsid w:val="009476C8"/>
    <w:rsid w:val="009517F6"/>
    <w:rsid w:val="00952344"/>
    <w:rsid w:val="009524FB"/>
    <w:rsid w:val="00952AE1"/>
    <w:rsid w:val="00952FB1"/>
    <w:rsid w:val="009564A2"/>
    <w:rsid w:val="0096366C"/>
    <w:rsid w:val="009701D0"/>
    <w:rsid w:val="00970A0A"/>
    <w:rsid w:val="00970FD2"/>
    <w:rsid w:val="009712C1"/>
    <w:rsid w:val="00976DB2"/>
    <w:rsid w:val="00977947"/>
    <w:rsid w:val="00980637"/>
    <w:rsid w:val="00981F3C"/>
    <w:rsid w:val="00983CD8"/>
    <w:rsid w:val="00990DB1"/>
    <w:rsid w:val="0099120D"/>
    <w:rsid w:val="00993696"/>
    <w:rsid w:val="00994EAF"/>
    <w:rsid w:val="009A2DC0"/>
    <w:rsid w:val="009A32A3"/>
    <w:rsid w:val="009A3B67"/>
    <w:rsid w:val="009A5293"/>
    <w:rsid w:val="009B23C8"/>
    <w:rsid w:val="009B2D75"/>
    <w:rsid w:val="009B32F1"/>
    <w:rsid w:val="009B6D49"/>
    <w:rsid w:val="009C0188"/>
    <w:rsid w:val="009C15C8"/>
    <w:rsid w:val="009C7F03"/>
    <w:rsid w:val="009D250B"/>
    <w:rsid w:val="009D44AF"/>
    <w:rsid w:val="009E1873"/>
    <w:rsid w:val="009E2BE3"/>
    <w:rsid w:val="009E490C"/>
    <w:rsid w:val="009E6323"/>
    <w:rsid w:val="009F27EB"/>
    <w:rsid w:val="009F3940"/>
    <w:rsid w:val="009F396C"/>
    <w:rsid w:val="009F5B8E"/>
    <w:rsid w:val="00A045F6"/>
    <w:rsid w:val="00A109B1"/>
    <w:rsid w:val="00A10CE5"/>
    <w:rsid w:val="00A113DB"/>
    <w:rsid w:val="00A11A57"/>
    <w:rsid w:val="00A162C2"/>
    <w:rsid w:val="00A17E82"/>
    <w:rsid w:val="00A21F06"/>
    <w:rsid w:val="00A230FB"/>
    <w:rsid w:val="00A25414"/>
    <w:rsid w:val="00A30F6A"/>
    <w:rsid w:val="00A36907"/>
    <w:rsid w:val="00A45D0B"/>
    <w:rsid w:val="00A55580"/>
    <w:rsid w:val="00A55F63"/>
    <w:rsid w:val="00A605D6"/>
    <w:rsid w:val="00A61894"/>
    <w:rsid w:val="00A652EE"/>
    <w:rsid w:val="00A65643"/>
    <w:rsid w:val="00A671C6"/>
    <w:rsid w:val="00A679CE"/>
    <w:rsid w:val="00A74BA0"/>
    <w:rsid w:val="00A74C9C"/>
    <w:rsid w:val="00A8239D"/>
    <w:rsid w:val="00A82407"/>
    <w:rsid w:val="00A829F6"/>
    <w:rsid w:val="00A83BB5"/>
    <w:rsid w:val="00A85F5B"/>
    <w:rsid w:val="00A865E3"/>
    <w:rsid w:val="00A96081"/>
    <w:rsid w:val="00A966A2"/>
    <w:rsid w:val="00A966DD"/>
    <w:rsid w:val="00AA720F"/>
    <w:rsid w:val="00AB1B21"/>
    <w:rsid w:val="00AB341A"/>
    <w:rsid w:val="00AB5C33"/>
    <w:rsid w:val="00AB7B14"/>
    <w:rsid w:val="00AC65AE"/>
    <w:rsid w:val="00AC77A0"/>
    <w:rsid w:val="00AC7CBA"/>
    <w:rsid w:val="00AD1440"/>
    <w:rsid w:val="00AD17DC"/>
    <w:rsid w:val="00AD4DD2"/>
    <w:rsid w:val="00AD574A"/>
    <w:rsid w:val="00AE704F"/>
    <w:rsid w:val="00AF15CC"/>
    <w:rsid w:val="00AF1CD1"/>
    <w:rsid w:val="00AF5E72"/>
    <w:rsid w:val="00B02008"/>
    <w:rsid w:val="00B03C69"/>
    <w:rsid w:val="00B12374"/>
    <w:rsid w:val="00B1351C"/>
    <w:rsid w:val="00B24D2B"/>
    <w:rsid w:val="00B26A22"/>
    <w:rsid w:val="00B30554"/>
    <w:rsid w:val="00B3186C"/>
    <w:rsid w:val="00B32C20"/>
    <w:rsid w:val="00B354DF"/>
    <w:rsid w:val="00B356FF"/>
    <w:rsid w:val="00B360B3"/>
    <w:rsid w:val="00B36353"/>
    <w:rsid w:val="00B36DF6"/>
    <w:rsid w:val="00B41501"/>
    <w:rsid w:val="00B41D85"/>
    <w:rsid w:val="00B426CD"/>
    <w:rsid w:val="00B43371"/>
    <w:rsid w:val="00B47828"/>
    <w:rsid w:val="00B47D9A"/>
    <w:rsid w:val="00B503F9"/>
    <w:rsid w:val="00B5119A"/>
    <w:rsid w:val="00B5254F"/>
    <w:rsid w:val="00B52D9B"/>
    <w:rsid w:val="00B60A26"/>
    <w:rsid w:val="00B657AB"/>
    <w:rsid w:val="00B6715E"/>
    <w:rsid w:val="00B72351"/>
    <w:rsid w:val="00B76D32"/>
    <w:rsid w:val="00B7791F"/>
    <w:rsid w:val="00B83D72"/>
    <w:rsid w:val="00B84D6C"/>
    <w:rsid w:val="00B855DB"/>
    <w:rsid w:val="00B86DDA"/>
    <w:rsid w:val="00B872A8"/>
    <w:rsid w:val="00B87D0A"/>
    <w:rsid w:val="00BA0FA9"/>
    <w:rsid w:val="00BA34DB"/>
    <w:rsid w:val="00BA592C"/>
    <w:rsid w:val="00BA771E"/>
    <w:rsid w:val="00BB0D09"/>
    <w:rsid w:val="00BB3B12"/>
    <w:rsid w:val="00BB5CD0"/>
    <w:rsid w:val="00BB711F"/>
    <w:rsid w:val="00BC26DC"/>
    <w:rsid w:val="00BC2CFD"/>
    <w:rsid w:val="00BD04A9"/>
    <w:rsid w:val="00BD5629"/>
    <w:rsid w:val="00BE5CDE"/>
    <w:rsid w:val="00BF30FA"/>
    <w:rsid w:val="00BF4D8E"/>
    <w:rsid w:val="00BF5C64"/>
    <w:rsid w:val="00BF5E75"/>
    <w:rsid w:val="00C002AC"/>
    <w:rsid w:val="00C00E63"/>
    <w:rsid w:val="00C02272"/>
    <w:rsid w:val="00C11B0F"/>
    <w:rsid w:val="00C12A23"/>
    <w:rsid w:val="00C165C9"/>
    <w:rsid w:val="00C23B4F"/>
    <w:rsid w:val="00C23DA1"/>
    <w:rsid w:val="00C24122"/>
    <w:rsid w:val="00C3499D"/>
    <w:rsid w:val="00C34DFF"/>
    <w:rsid w:val="00C37376"/>
    <w:rsid w:val="00C44E11"/>
    <w:rsid w:val="00C47B69"/>
    <w:rsid w:val="00C533E3"/>
    <w:rsid w:val="00C535BF"/>
    <w:rsid w:val="00C56E3F"/>
    <w:rsid w:val="00C60514"/>
    <w:rsid w:val="00C636F4"/>
    <w:rsid w:val="00C66441"/>
    <w:rsid w:val="00C84D4B"/>
    <w:rsid w:val="00C85D30"/>
    <w:rsid w:val="00C87C28"/>
    <w:rsid w:val="00C913F5"/>
    <w:rsid w:val="00C91CF3"/>
    <w:rsid w:val="00CA0566"/>
    <w:rsid w:val="00CA5D47"/>
    <w:rsid w:val="00CA6832"/>
    <w:rsid w:val="00CA6F21"/>
    <w:rsid w:val="00CB043A"/>
    <w:rsid w:val="00CC76D0"/>
    <w:rsid w:val="00CD0E0A"/>
    <w:rsid w:val="00CD3E98"/>
    <w:rsid w:val="00CD4A8E"/>
    <w:rsid w:val="00CD4C17"/>
    <w:rsid w:val="00CD7240"/>
    <w:rsid w:val="00CE1E19"/>
    <w:rsid w:val="00CE7A06"/>
    <w:rsid w:val="00CF00AA"/>
    <w:rsid w:val="00D01FAB"/>
    <w:rsid w:val="00D027D1"/>
    <w:rsid w:val="00D04F63"/>
    <w:rsid w:val="00D1270B"/>
    <w:rsid w:val="00D146EF"/>
    <w:rsid w:val="00D17E38"/>
    <w:rsid w:val="00D236E7"/>
    <w:rsid w:val="00D243CF"/>
    <w:rsid w:val="00D24B69"/>
    <w:rsid w:val="00D2562F"/>
    <w:rsid w:val="00D3470D"/>
    <w:rsid w:val="00D349B2"/>
    <w:rsid w:val="00D36A9C"/>
    <w:rsid w:val="00D37D6C"/>
    <w:rsid w:val="00D41EA0"/>
    <w:rsid w:val="00D4471E"/>
    <w:rsid w:val="00D4474C"/>
    <w:rsid w:val="00D45511"/>
    <w:rsid w:val="00D45736"/>
    <w:rsid w:val="00D50700"/>
    <w:rsid w:val="00D50AC7"/>
    <w:rsid w:val="00D536C4"/>
    <w:rsid w:val="00D57CC3"/>
    <w:rsid w:val="00D62D7D"/>
    <w:rsid w:val="00D64773"/>
    <w:rsid w:val="00D66961"/>
    <w:rsid w:val="00D75DB7"/>
    <w:rsid w:val="00D7714C"/>
    <w:rsid w:val="00D8571C"/>
    <w:rsid w:val="00D96711"/>
    <w:rsid w:val="00DA0016"/>
    <w:rsid w:val="00DA25B9"/>
    <w:rsid w:val="00DA3D08"/>
    <w:rsid w:val="00DA5611"/>
    <w:rsid w:val="00DA582B"/>
    <w:rsid w:val="00DA657A"/>
    <w:rsid w:val="00DB0E9F"/>
    <w:rsid w:val="00DB2B73"/>
    <w:rsid w:val="00DB5192"/>
    <w:rsid w:val="00DB53D4"/>
    <w:rsid w:val="00DB7AED"/>
    <w:rsid w:val="00DC2FA0"/>
    <w:rsid w:val="00DC30C2"/>
    <w:rsid w:val="00DD0789"/>
    <w:rsid w:val="00DD13AC"/>
    <w:rsid w:val="00DD2CF4"/>
    <w:rsid w:val="00DD351E"/>
    <w:rsid w:val="00DE26B7"/>
    <w:rsid w:val="00DE40E0"/>
    <w:rsid w:val="00DE4BA5"/>
    <w:rsid w:val="00DF2A49"/>
    <w:rsid w:val="00DF3A13"/>
    <w:rsid w:val="00DF58A9"/>
    <w:rsid w:val="00E02356"/>
    <w:rsid w:val="00E0371A"/>
    <w:rsid w:val="00E04CBC"/>
    <w:rsid w:val="00E24F6E"/>
    <w:rsid w:val="00E36340"/>
    <w:rsid w:val="00E37EDD"/>
    <w:rsid w:val="00E538FA"/>
    <w:rsid w:val="00E54480"/>
    <w:rsid w:val="00E57561"/>
    <w:rsid w:val="00E57C03"/>
    <w:rsid w:val="00E57C8D"/>
    <w:rsid w:val="00E607EE"/>
    <w:rsid w:val="00E76B7E"/>
    <w:rsid w:val="00E80158"/>
    <w:rsid w:val="00E80FB0"/>
    <w:rsid w:val="00E817FB"/>
    <w:rsid w:val="00E85615"/>
    <w:rsid w:val="00E86698"/>
    <w:rsid w:val="00E90535"/>
    <w:rsid w:val="00E91DEC"/>
    <w:rsid w:val="00E932C2"/>
    <w:rsid w:val="00E95810"/>
    <w:rsid w:val="00EA0210"/>
    <w:rsid w:val="00EA0EF3"/>
    <w:rsid w:val="00EA59C4"/>
    <w:rsid w:val="00EB0BCC"/>
    <w:rsid w:val="00EB280B"/>
    <w:rsid w:val="00EB6659"/>
    <w:rsid w:val="00EC35F0"/>
    <w:rsid w:val="00EC4C43"/>
    <w:rsid w:val="00EC703D"/>
    <w:rsid w:val="00ED6E1A"/>
    <w:rsid w:val="00ED7626"/>
    <w:rsid w:val="00EE2D3D"/>
    <w:rsid w:val="00EE4D72"/>
    <w:rsid w:val="00EF2C8E"/>
    <w:rsid w:val="00EF3FBF"/>
    <w:rsid w:val="00EF4936"/>
    <w:rsid w:val="00EF6277"/>
    <w:rsid w:val="00EF6660"/>
    <w:rsid w:val="00EF706B"/>
    <w:rsid w:val="00EF79E3"/>
    <w:rsid w:val="00F070C4"/>
    <w:rsid w:val="00F075A7"/>
    <w:rsid w:val="00F07792"/>
    <w:rsid w:val="00F10358"/>
    <w:rsid w:val="00F11D88"/>
    <w:rsid w:val="00F12C2A"/>
    <w:rsid w:val="00F14080"/>
    <w:rsid w:val="00F2424F"/>
    <w:rsid w:val="00F27C33"/>
    <w:rsid w:val="00F31FC0"/>
    <w:rsid w:val="00F32D92"/>
    <w:rsid w:val="00F331E7"/>
    <w:rsid w:val="00F35035"/>
    <w:rsid w:val="00F40BB4"/>
    <w:rsid w:val="00F41240"/>
    <w:rsid w:val="00F53C79"/>
    <w:rsid w:val="00F54CBF"/>
    <w:rsid w:val="00F54F96"/>
    <w:rsid w:val="00F56B54"/>
    <w:rsid w:val="00F608D4"/>
    <w:rsid w:val="00F61AF1"/>
    <w:rsid w:val="00F65B0B"/>
    <w:rsid w:val="00F66C96"/>
    <w:rsid w:val="00F679BB"/>
    <w:rsid w:val="00F71F80"/>
    <w:rsid w:val="00F75719"/>
    <w:rsid w:val="00F760B8"/>
    <w:rsid w:val="00F801AA"/>
    <w:rsid w:val="00F82046"/>
    <w:rsid w:val="00F86CEC"/>
    <w:rsid w:val="00F95634"/>
    <w:rsid w:val="00F97636"/>
    <w:rsid w:val="00FA6E4A"/>
    <w:rsid w:val="00FB5B05"/>
    <w:rsid w:val="00FC0A5E"/>
    <w:rsid w:val="00FC0E04"/>
    <w:rsid w:val="00FC4690"/>
    <w:rsid w:val="00FD2D79"/>
    <w:rsid w:val="00FD7B63"/>
    <w:rsid w:val="00FE0A5E"/>
    <w:rsid w:val="00FE3D5F"/>
    <w:rsid w:val="00FE5C05"/>
    <w:rsid w:val="00FE6C44"/>
    <w:rsid w:val="00FE78D6"/>
    <w:rsid w:val="00FF218B"/>
    <w:rsid w:val="00FF24DE"/>
    <w:rsid w:val="00FF7696"/>
    <w:rsid w:val="0A44A1A4"/>
    <w:rsid w:val="33EC805A"/>
    <w:rsid w:val="44354307"/>
    <w:rsid w:val="49383D2F"/>
    <w:rsid w:val="5DACD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0A661B"/>
  <w15:chartTrackingRefBased/>
  <w15:docId w15:val="{88477BAE-B76E-43FE-A0D7-9FEAC439923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G Times (WN)" w:hAnsi="CG Times (WN)" w:eastAsia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D00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4D0032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D0032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D00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D00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D00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D0032"/>
    <w:pPr>
      <w:outlineLvl w:val="5"/>
    </w:pPr>
  </w:style>
  <w:style w:type="paragraph" w:styleId="Heading7">
    <w:name w:val="heading 7"/>
    <w:basedOn w:val="H6"/>
    <w:next w:val="Normal"/>
    <w:qFormat/>
    <w:rsid w:val="004D0032"/>
    <w:pPr>
      <w:outlineLvl w:val="6"/>
    </w:pPr>
  </w:style>
  <w:style w:type="paragraph" w:styleId="Heading8">
    <w:name w:val="heading 8"/>
    <w:basedOn w:val="Heading1"/>
    <w:next w:val="Normal"/>
    <w:qFormat/>
    <w:rsid w:val="004D00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0032"/>
    <w:pPr>
      <w:outlineLvl w:val="8"/>
    </w:p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4D0032"/>
    <w:pPr>
      <w:spacing w:before="180"/>
      <w:ind w:left="2693" w:hanging="2693"/>
    </w:pPr>
    <w:rPr>
      <w:b/>
    </w:rPr>
  </w:style>
  <w:style w:type="paragraph" w:styleId="TOC1">
    <w:name w:val="toc 1"/>
    <w:semiHidden/>
    <w:rsid w:val="004D00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styleId="ZT" w:customStyle="1">
    <w:name w:val="ZT"/>
    <w:rsid w:val="004D00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D0032"/>
    <w:pPr>
      <w:ind w:left="1701" w:hanging="1701"/>
    </w:pPr>
  </w:style>
  <w:style w:type="paragraph" w:styleId="TOC4">
    <w:name w:val="toc 4"/>
    <w:basedOn w:val="TOC3"/>
    <w:semiHidden/>
    <w:rsid w:val="004D0032"/>
    <w:pPr>
      <w:ind w:left="1418" w:hanging="1418"/>
    </w:pPr>
  </w:style>
  <w:style w:type="paragraph" w:styleId="TOC3">
    <w:name w:val="toc 3"/>
    <w:basedOn w:val="TOC2"/>
    <w:semiHidden/>
    <w:rsid w:val="004D0032"/>
    <w:pPr>
      <w:ind w:left="1134" w:hanging="1134"/>
    </w:pPr>
  </w:style>
  <w:style w:type="paragraph" w:styleId="TOC2">
    <w:name w:val="toc 2"/>
    <w:basedOn w:val="TOC1"/>
    <w:semiHidden/>
    <w:rsid w:val="004D00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D0032"/>
    <w:pPr>
      <w:ind w:left="284"/>
    </w:pPr>
  </w:style>
  <w:style w:type="paragraph" w:styleId="Index1">
    <w:name w:val="index 1"/>
    <w:basedOn w:val="Normal"/>
    <w:semiHidden/>
    <w:rsid w:val="004D0032"/>
    <w:pPr>
      <w:keepLines/>
      <w:spacing w:after="0"/>
    </w:pPr>
  </w:style>
  <w:style w:type="paragraph" w:styleId="ZH" w:customStyle="1">
    <w:name w:val="ZH"/>
    <w:rsid w:val="004D0032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TT" w:customStyle="1">
    <w:name w:val="TT"/>
    <w:basedOn w:val="Heading1"/>
    <w:next w:val="Normal"/>
    <w:rsid w:val="004D0032"/>
    <w:pPr>
      <w:outlineLvl w:val="9"/>
    </w:pPr>
  </w:style>
  <w:style w:type="paragraph" w:styleId="ListNumber2">
    <w:name w:val="List Number 2"/>
    <w:basedOn w:val="ListNumber"/>
    <w:semiHidden/>
    <w:rsid w:val="004D0032"/>
    <w:pPr>
      <w:ind w:left="851"/>
    </w:pPr>
  </w:style>
  <w:style w:type="paragraph" w:styleId="Header">
    <w:name w:val="header"/>
    <w:semiHidden/>
    <w:rsid w:val="004D00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4D0032"/>
    <w:rPr>
      <w:b/>
      <w:position w:val="6"/>
      <w:sz w:val="16"/>
    </w:rPr>
  </w:style>
  <w:style w:type="paragraph" w:styleId="FootnoteText">
    <w:name w:val="footnote text"/>
    <w:basedOn w:val="Normal"/>
    <w:semiHidden/>
    <w:rsid w:val="004D0032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rsid w:val="004D0032"/>
    <w:rPr>
      <w:b/>
    </w:rPr>
  </w:style>
  <w:style w:type="paragraph" w:styleId="TAC" w:customStyle="1">
    <w:name w:val="TAC"/>
    <w:basedOn w:val="TAL"/>
    <w:link w:val="TACChar"/>
    <w:rsid w:val="004D0032"/>
    <w:pPr>
      <w:jc w:val="center"/>
    </w:pPr>
  </w:style>
  <w:style w:type="paragraph" w:styleId="TF" w:customStyle="1">
    <w:name w:val="TF"/>
    <w:basedOn w:val="TH"/>
    <w:rsid w:val="004D0032"/>
    <w:pPr>
      <w:keepNext w:val="0"/>
      <w:spacing w:before="0" w:after="240"/>
    </w:pPr>
  </w:style>
  <w:style w:type="paragraph" w:styleId="NO" w:customStyle="1">
    <w:name w:val="NO"/>
    <w:basedOn w:val="Normal"/>
    <w:rsid w:val="004D0032"/>
    <w:pPr>
      <w:keepLines/>
      <w:ind w:left="1135" w:hanging="851"/>
    </w:pPr>
  </w:style>
  <w:style w:type="paragraph" w:styleId="TOC9">
    <w:name w:val="toc 9"/>
    <w:basedOn w:val="TOC8"/>
    <w:semiHidden/>
    <w:rsid w:val="004D0032"/>
    <w:pPr>
      <w:ind w:left="1418" w:hanging="1418"/>
    </w:pPr>
  </w:style>
  <w:style w:type="paragraph" w:styleId="EX" w:customStyle="1">
    <w:name w:val="EX"/>
    <w:basedOn w:val="Normal"/>
    <w:rsid w:val="004D0032"/>
    <w:pPr>
      <w:keepLines/>
      <w:ind w:left="1702" w:hanging="1418"/>
    </w:pPr>
  </w:style>
  <w:style w:type="paragraph" w:styleId="FP" w:customStyle="1">
    <w:name w:val="FP"/>
    <w:basedOn w:val="Normal"/>
    <w:rsid w:val="004D0032"/>
    <w:pPr>
      <w:spacing w:after="0"/>
    </w:pPr>
  </w:style>
  <w:style w:type="paragraph" w:styleId="LD" w:customStyle="1">
    <w:name w:val="LD"/>
    <w:rsid w:val="004D00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NW" w:customStyle="1">
    <w:name w:val="NW"/>
    <w:basedOn w:val="NO"/>
    <w:rsid w:val="004D0032"/>
    <w:pPr>
      <w:spacing w:after="0"/>
    </w:pPr>
  </w:style>
  <w:style w:type="paragraph" w:styleId="EW" w:customStyle="1">
    <w:name w:val="EW"/>
    <w:basedOn w:val="EX"/>
    <w:rsid w:val="004D0032"/>
    <w:pPr>
      <w:spacing w:after="0"/>
    </w:pPr>
  </w:style>
  <w:style w:type="paragraph" w:styleId="TOC6">
    <w:name w:val="toc 6"/>
    <w:basedOn w:val="TOC5"/>
    <w:next w:val="Normal"/>
    <w:semiHidden/>
    <w:rsid w:val="004D0032"/>
    <w:pPr>
      <w:ind w:left="1985" w:hanging="1985"/>
    </w:pPr>
  </w:style>
  <w:style w:type="paragraph" w:styleId="TOC7">
    <w:name w:val="toc 7"/>
    <w:basedOn w:val="TOC6"/>
    <w:next w:val="Normal"/>
    <w:semiHidden/>
    <w:rsid w:val="004D0032"/>
    <w:pPr>
      <w:ind w:left="2268" w:hanging="2268"/>
    </w:pPr>
  </w:style>
  <w:style w:type="paragraph" w:styleId="ListBullet2">
    <w:name w:val="List Bullet 2"/>
    <w:basedOn w:val="ListBullet"/>
    <w:semiHidden/>
    <w:rsid w:val="004D0032"/>
    <w:pPr>
      <w:ind w:left="851"/>
    </w:pPr>
  </w:style>
  <w:style w:type="paragraph" w:styleId="ListBullet3">
    <w:name w:val="List Bullet 3"/>
    <w:basedOn w:val="ListBullet2"/>
    <w:semiHidden/>
    <w:rsid w:val="004D0032"/>
    <w:pPr>
      <w:ind w:left="1135"/>
    </w:pPr>
  </w:style>
  <w:style w:type="paragraph" w:styleId="ListNumber">
    <w:name w:val="List Number"/>
    <w:basedOn w:val="List"/>
    <w:semiHidden/>
    <w:rsid w:val="004D0032"/>
  </w:style>
  <w:style w:type="paragraph" w:styleId="EQ" w:customStyle="1">
    <w:name w:val="EQ"/>
    <w:basedOn w:val="Normal"/>
    <w:next w:val="Normal"/>
    <w:rsid w:val="004D0032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rsid w:val="004D0032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4D0032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4D00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AR" w:customStyle="1">
    <w:name w:val="TAR"/>
    <w:basedOn w:val="TAL"/>
    <w:rsid w:val="004D0032"/>
    <w:pPr>
      <w:jc w:val="right"/>
    </w:pPr>
  </w:style>
  <w:style w:type="paragraph" w:styleId="H6" w:customStyle="1">
    <w:name w:val="H6"/>
    <w:basedOn w:val="Heading5"/>
    <w:next w:val="Normal"/>
    <w:rsid w:val="004D0032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link w:val="TANChar"/>
    <w:rsid w:val="004D0032"/>
    <w:pPr>
      <w:ind w:left="851" w:hanging="851"/>
    </w:pPr>
  </w:style>
  <w:style w:type="paragraph" w:styleId="TAL" w:customStyle="1">
    <w:name w:val="TAL"/>
    <w:basedOn w:val="Normal"/>
    <w:rsid w:val="004D0032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4D0032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ZB" w:customStyle="1">
    <w:name w:val="ZB"/>
    <w:rsid w:val="004D0032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styleId="ZD" w:customStyle="1">
    <w:name w:val="ZD"/>
    <w:rsid w:val="004D0032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ZU" w:customStyle="1">
    <w:name w:val="ZU"/>
    <w:rsid w:val="004D0032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ZV" w:customStyle="1">
    <w:name w:val="ZV"/>
    <w:basedOn w:val="ZU"/>
    <w:rsid w:val="004D0032"/>
    <w:pPr>
      <w:framePr w:wrap="notBeside" w:y="16161"/>
    </w:pPr>
  </w:style>
  <w:style w:type="character" w:styleId="ZGSM" w:customStyle="1">
    <w:name w:val="ZGSM"/>
    <w:rsid w:val="004D0032"/>
  </w:style>
  <w:style w:type="paragraph" w:styleId="List2">
    <w:name w:val="List 2"/>
    <w:basedOn w:val="List"/>
    <w:semiHidden/>
    <w:rsid w:val="004D0032"/>
    <w:pPr>
      <w:ind w:left="851"/>
    </w:pPr>
  </w:style>
  <w:style w:type="paragraph" w:styleId="ZG" w:customStyle="1">
    <w:name w:val="ZG"/>
    <w:rsid w:val="004D0032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D0032"/>
    <w:pPr>
      <w:ind w:left="1135"/>
    </w:pPr>
  </w:style>
  <w:style w:type="paragraph" w:styleId="List4">
    <w:name w:val="List 4"/>
    <w:basedOn w:val="List3"/>
    <w:semiHidden/>
    <w:rsid w:val="004D0032"/>
    <w:pPr>
      <w:ind w:left="1418"/>
    </w:pPr>
  </w:style>
  <w:style w:type="paragraph" w:styleId="List5">
    <w:name w:val="List 5"/>
    <w:basedOn w:val="List4"/>
    <w:semiHidden/>
    <w:rsid w:val="004D0032"/>
    <w:pPr>
      <w:ind w:left="1702"/>
    </w:pPr>
  </w:style>
  <w:style w:type="paragraph" w:styleId="EditorsNote" w:customStyle="1">
    <w:name w:val="Editor's Note"/>
    <w:basedOn w:val="NO"/>
    <w:rsid w:val="004D0032"/>
    <w:rPr>
      <w:color w:val="FF0000"/>
    </w:rPr>
  </w:style>
  <w:style w:type="paragraph" w:styleId="List">
    <w:name w:val="List"/>
    <w:basedOn w:val="Normal"/>
    <w:semiHidden/>
    <w:rsid w:val="004D0032"/>
    <w:pPr>
      <w:ind w:left="568" w:hanging="284"/>
    </w:pPr>
  </w:style>
  <w:style w:type="paragraph" w:styleId="ListBullet">
    <w:name w:val="List Bullet"/>
    <w:basedOn w:val="List"/>
    <w:semiHidden/>
    <w:rsid w:val="004D0032"/>
  </w:style>
  <w:style w:type="paragraph" w:styleId="ListBullet4">
    <w:name w:val="List Bullet 4"/>
    <w:basedOn w:val="ListBullet3"/>
    <w:semiHidden/>
    <w:rsid w:val="004D0032"/>
    <w:pPr>
      <w:ind w:left="1418"/>
    </w:pPr>
  </w:style>
  <w:style w:type="paragraph" w:styleId="ListBullet5">
    <w:name w:val="List Bullet 5"/>
    <w:basedOn w:val="ListBullet4"/>
    <w:semiHidden/>
    <w:rsid w:val="004D0032"/>
    <w:pPr>
      <w:ind w:left="1702"/>
    </w:pPr>
  </w:style>
  <w:style w:type="paragraph" w:styleId="B1" w:customStyle="1">
    <w:name w:val="B1"/>
    <w:basedOn w:val="List"/>
    <w:rsid w:val="004D0032"/>
  </w:style>
  <w:style w:type="paragraph" w:styleId="B2" w:customStyle="1">
    <w:name w:val="B2"/>
    <w:basedOn w:val="List2"/>
    <w:rsid w:val="004D0032"/>
  </w:style>
  <w:style w:type="paragraph" w:styleId="B3" w:customStyle="1">
    <w:name w:val="B3"/>
    <w:basedOn w:val="List3"/>
    <w:rsid w:val="004D0032"/>
  </w:style>
  <w:style w:type="paragraph" w:styleId="B4" w:customStyle="1">
    <w:name w:val="B4"/>
    <w:basedOn w:val="List4"/>
    <w:rsid w:val="004D0032"/>
  </w:style>
  <w:style w:type="paragraph" w:styleId="B5" w:customStyle="1">
    <w:name w:val="B5"/>
    <w:basedOn w:val="List5"/>
    <w:rsid w:val="004D0032"/>
  </w:style>
  <w:style w:type="paragraph" w:styleId="Footer">
    <w:name w:val="footer"/>
    <w:basedOn w:val="Header"/>
    <w:semiHidden/>
    <w:rsid w:val="004D0032"/>
    <w:pPr>
      <w:jc w:val="center"/>
    </w:pPr>
    <w:rPr>
      <w:i/>
    </w:rPr>
  </w:style>
  <w:style w:type="paragraph" w:styleId="ZTD" w:customStyle="1">
    <w:name w:val="ZTD"/>
    <w:basedOn w:val="ZB"/>
    <w:rsid w:val="004D0032"/>
    <w:pPr>
      <w:framePr w:wrap="notBeside" w:y="852" w:hRule="auto"/>
    </w:pPr>
    <w:rPr>
      <w:i w:val="0"/>
      <w:sz w:val="40"/>
    </w:rPr>
  </w:style>
  <w:style w:type="paragraph" w:styleId="NoSpacing">
    <w:name w:val="No Spacing"/>
    <w:uiPriority w:val="1"/>
    <w:qFormat/>
    <w:rsid w:val="000611C6"/>
    <w:rPr>
      <w:rFonts w:ascii="Times New Roman" w:hAnsi="Times New Roman"/>
      <w:lang w:val="en-US" w:eastAsia="en-US"/>
    </w:rPr>
  </w:style>
  <w:style w:type="paragraph" w:styleId="BodyText">
    <w:name w:val="Body Text"/>
    <w:aliases w:val="bt"/>
    <w:basedOn w:val="Normal"/>
    <w:link w:val="BodyTextChar"/>
    <w:rsid w:val="000611C6"/>
    <w:pPr>
      <w:spacing w:after="120"/>
      <w:jc w:val="both"/>
    </w:pPr>
    <w:rPr>
      <w:rFonts w:ascii="Times" w:hAnsi="Times" w:eastAsia="SimSun"/>
      <w:szCs w:val="24"/>
      <w:lang w:val="en-US" w:eastAsia="en-US"/>
    </w:rPr>
  </w:style>
  <w:style w:type="character" w:styleId="BodyTextChar" w:customStyle="1">
    <w:name w:val="Body Text Char"/>
    <w:aliases w:val="bt Char"/>
    <w:basedOn w:val="DefaultParagraphFont"/>
    <w:link w:val="BodyText"/>
    <w:rsid w:val="000611C6"/>
    <w:rPr>
      <w:rFonts w:ascii="Times" w:hAnsi="Times" w:eastAsia="SimSun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61AF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5097D"/>
    <w:rPr>
      <w:b/>
      <w:bCs/>
    </w:rPr>
  </w:style>
  <w:style w:type="table" w:styleId="TableGrid">
    <w:name w:val="Table Grid"/>
    <w:basedOn w:val="TableNormal"/>
    <w:uiPriority w:val="39"/>
    <w:rsid w:val="00EA0EF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A45D0B"/>
    <w:rPr>
      <w:rFonts w:ascii="Times New Roman" w:hAnsi="Times New Roman"/>
    </w:rPr>
  </w:style>
  <w:style w:type="character" w:styleId="TACChar" w:customStyle="1">
    <w:name w:val="TAC Char"/>
    <w:link w:val="TAC"/>
    <w:qFormat/>
    <w:rsid w:val="00253847"/>
    <w:rPr>
      <w:rFonts w:ascii="Arial" w:hAnsi="Arial"/>
      <w:sz w:val="18"/>
    </w:rPr>
  </w:style>
  <w:style w:type="character" w:styleId="TAHCar" w:customStyle="1">
    <w:name w:val="TAH Car"/>
    <w:link w:val="TAH"/>
    <w:qFormat/>
    <w:rsid w:val="00253847"/>
    <w:rPr>
      <w:rFonts w:ascii="Arial" w:hAnsi="Arial"/>
      <w:b/>
      <w:sz w:val="18"/>
    </w:rPr>
  </w:style>
  <w:style w:type="character" w:styleId="TANChar" w:customStyle="1">
    <w:name w:val="TAN Char"/>
    <w:link w:val="TAN"/>
    <w:qFormat/>
    <w:rsid w:val="00253847"/>
    <w:rPr>
      <w:rFonts w:ascii="Arial" w:hAnsi="Arial"/>
      <w:sz w:val="18"/>
    </w:rPr>
  </w:style>
  <w:style w:type="paragraph" w:styleId="TableParagraph" w:customStyle="1">
    <w:name w:val="Table Paragraph"/>
    <w:basedOn w:val="Normal"/>
    <w:uiPriority w:val="1"/>
    <w:qFormat/>
    <w:rsid w:val="00AC77A0"/>
    <w:pPr>
      <w:widowControl w:val="0"/>
      <w:overflowPunct/>
      <w:adjustRightInd/>
      <w:spacing w:after="0"/>
      <w:ind w:left="18"/>
      <w:jc w:val="center"/>
      <w:textAlignment w:val="auto"/>
    </w:pPr>
    <w:rPr>
      <w:rFonts w:ascii="Arial" w:hAnsi="Arial" w:eastAsia="Arial" w:cs="Arial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31FC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1FC0"/>
    <w:rPr>
      <w:color w:val="605E5C"/>
      <w:shd w:val="clear" w:color="auto" w:fill="E1DFDD"/>
    </w:rPr>
  </w:style>
  <w:style w:type="paragraph" w:styleId="Table" w:customStyle="1">
    <w:name w:val="Table_#"/>
    <w:basedOn w:val="Normal"/>
    <w:next w:val="Normal"/>
    <w:rsid w:val="00302C3F"/>
    <w:pPr>
      <w:keepNext/>
      <w:spacing w:before="567" w:after="113"/>
      <w:jc w:val="center"/>
    </w:pPr>
    <w:rPr>
      <w:sz w:val="18"/>
      <w:lang w:eastAsia="en-US"/>
    </w:rPr>
  </w:style>
  <w:style w:type="paragraph" w:styleId="TableText" w:customStyle="1">
    <w:name w:val="Table_Text"/>
    <w:basedOn w:val="Normal"/>
    <w:rsid w:val="00302C3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en-US"/>
    </w:rPr>
  </w:style>
  <w:style w:type="paragraph" w:styleId="TableLegend" w:customStyle="1">
    <w:name w:val="Table_Legend"/>
    <w:basedOn w:val="Normal"/>
    <w:next w:val="Normal"/>
    <w:rsid w:val="00A045F6"/>
    <w:pPr>
      <w:keepNext/>
      <w:tabs>
        <w:tab w:val="left" w:pos="794"/>
        <w:tab w:val="left" w:pos="1191"/>
        <w:tab w:val="left" w:pos="1588"/>
        <w:tab w:val="left" w:pos="1985"/>
      </w:tabs>
      <w:spacing w:before="86" w:after="0" w:line="199" w:lineRule="exact"/>
      <w:ind w:left="-85" w:right="-85"/>
      <w:jc w:val="both"/>
    </w:pPr>
    <w:rPr>
      <w:sz w:val="18"/>
      <w:lang w:eastAsia="en-US"/>
    </w:rPr>
  </w:style>
  <w:style w:type="paragraph" w:styleId="Note" w:customStyle="1">
    <w:name w:val="Note"/>
    <w:basedOn w:val="Normal"/>
    <w:next w:val="Normal"/>
    <w:rsid w:val="00A045F6"/>
    <w:pPr>
      <w:spacing w:before="80" w:after="0"/>
      <w:jc w:val="both"/>
    </w:pPr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6B7C37"/>
    <w:pPr>
      <w:spacing w:after="0"/>
    </w:pPr>
  </w:style>
  <w:style w:type="paragraph" w:styleId="TableTitle" w:customStyle="1">
    <w:name w:val="Table_Title"/>
    <w:basedOn w:val="Table"/>
    <w:next w:val="Normal"/>
    <w:rsid w:val="00952AE1"/>
    <w:pPr>
      <w:spacing w:before="0"/>
    </w:pPr>
    <w:rPr>
      <w:b/>
    </w:rPr>
  </w:style>
  <w:style w:type="character" w:styleId="PlaceholderText">
    <w:name w:val="Placeholder Text"/>
    <w:basedOn w:val="DefaultParagraphFont"/>
    <w:uiPriority w:val="99"/>
    <w:semiHidden/>
    <w:rsid w:val="003924D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0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ander.Rhodes\OneDrive%20-%20inmarsat.com\Misc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779F4CD3FCD648AB6B67EC298EDD29" ma:contentTypeVersion="17" ma:contentTypeDescription="Create a new document." ma:contentTypeScope="" ma:versionID="282e1345d47f02dbfd57eab5e865e49f">
  <xsd:schema xmlns:xsd="http://www.w3.org/2001/XMLSchema" xmlns:xs="http://www.w3.org/2001/XMLSchema" xmlns:p="http://schemas.microsoft.com/office/2006/metadata/properties" xmlns:ns2="55024fd2-ff37-4c8d-a035-39e46c297d74" xmlns:ns3="b141a115-4ab2-4840-b103-4c95ea3a006a" targetNamespace="http://schemas.microsoft.com/office/2006/metadata/properties" ma:root="true" ma:fieldsID="ea6075465fc0c4089c0994968b67f6cc" ns2:_="" ns3:_="">
    <xsd:import namespace="55024fd2-ff37-4c8d-a035-39e46c297d74"/>
    <xsd:import namespace="b141a115-4ab2-4840-b103-4c95ea3a00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024fd2-ff37-4c8d-a035-39e46c297d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8" nillable="true" ma:taxonomy="true" ma:internalName="lcf76f155ced4ddcb4097134ff3c332f" ma:taxonomyFieldName="MediaServiceImageTags" ma:displayName="Image Tags" ma:readOnly="false" ma:fieldId="{5cf76f15-5ced-4ddc-b409-7134ff3c332f}" ma:taxonomyMulti="true" ma:sspId="0b427cf7-d72b-4415-a865-3b3b8301d3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41a115-4ab2-4840-b103-4c95ea3a00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84452dea-be2c-41f4-b3ee-3b01cd2d42ef}" ma:internalName="TaxCatchAll" ma:showField="CatchAllData" ma:web="b141a115-4ab2-4840-b103-4c95ea3a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41a115-4ab2-4840-b103-4c95ea3a006a" xsi:nil="true"/>
    <lcf76f155ced4ddcb4097134ff3c332f xmlns="55024fd2-ff37-4c8d-a035-39e46c297d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AD71EB0-96B6-4102-8241-1FCF105F38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89CC36-CC48-4B63-A723-6B7A36F9AA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024fd2-ff37-4c8d-a035-39e46c297d74"/>
    <ds:schemaRef ds:uri="b141a115-4ab2-4840-b103-4c95ea3a00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012F14-1A12-4E8F-A673-623AD1C910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05096D-773F-4C5D-A1FF-51EDCDC9A3B3}">
  <ds:schemaRefs>
    <ds:schemaRef ds:uri="http://schemas.microsoft.com/office/2006/metadata/properties"/>
    <ds:schemaRef ds:uri="http://schemas.microsoft.com/office/infopath/2007/PartnerControls"/>
    <ds:schemaRef ds:uri="b141a115-4ab2-4840-b103-4c95ea3a006a"/>
    <ds:schemaRef ds:uri="55024fd2-ff37-4c8d-a035-39e46c297d74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</ap:Template>
  <ap:Application>Microsoft Word for the web</ap:Application>
  <ap:DocSecurity>0</ap:DocSecurity>
  <ap:ScaleCrop>false</ap:ScaleCrop>
  <ap:Company>ETSI Sophia Antipolis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ETSI stylesheet (v.7.0)</dc:title>
  <dc:subject>Word for Windows 6.x &amp; 95+</dc:subject>
  <dc:creator>Alexander Rhodes</dc:creator>
  <keywords>ESA, style sheet, Winword</keywords>
  <dc:description/>
  <lastModifiedBy>Chakraborty, Kaushik</lastModifiedBy>
  <revision>5</revision>
  <lastPrinted>1900-01-01T16:00:00.0000000Z</lastPrinted>
  <dcterms:created xsi:type="dcterms:W3CDTF">2025-03-25T22:58:00.0000000Z</dcterms:created>
  <dcterms:modified xsi:type="dcterms:W3CDTF">2025-03-28T15:46:02.6009864Z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0x01010096779F4CD3FCD648AB6B67EC298EDD29</vt:lpwstr>
  </property>
  <property fmtid="{D5CDD505-2E9C-101B-9397-08002B2CF9AE}" pid="3" name="MediaServiceImageTags">
    <vt:lpwstr/>
  </property>
  <property fmtid="{D5CDD505-2E9C-101B-9397-08002B2CF9AE}" pid="4" name="_ExtendedDescription">
    <vt:lpwstr/>
  </property>
</Properties>
</file>